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C4DF9" w14:textId="3A80AC28" w:rsidR="00EA30D8" w:rsidRPr="00DB3BE4" w:rsidRDefault="00EA30D8" w:rsidP="00EA30D8">
      <w:pPr>
        <w:ind w:firstLine="420"/>
        <w:jc w:val="center"/>
        <w:rPr>
          <w:b/>
          <w:sz w:val="36"/>
          <w:szCs w:val="36"/>
        </w:rPr>
      </w:pPr>
      <w:r w:rsidRPr="00DB3BE4">
        <w:rPr>
          <w:b/>
          <w:sz w:val="36"/>
          <w:szCs w:val="36"/>
        </w:rPr>
        <w:t>Syllabus</w:t>
      </w:r>
    </w:p>
    <w:p w14:paraId="6F581043" w14:textId="77777777" w:rsidR="00EA30D8" w:rsidRPr="00DB3BE4" w:rsidRDefault="00EA30D8" w:rsidP="00EA30D8">
      <w:pPr>
        <w:ind w:firstLine="420"/>
        <w:jc w:val="center"/>
        <w:rPr>
          <w:b/>
          <w:sz w:val="32"/>
          <w:szCs w:val="32"/>
        </w:rPr>
      </w:pPr>
      <w:r w:rsidRPr="00DB3BE4">
        <w:rPr>
          <w:b/>
          <w:sz w:val="32"/>
          <w:szCs w:val="32"/>
        </w:rPr>
        <w:t>International Accounting Research</w:t>
      </w:r>
    </w:p>
    <w:p w14:paraId="2074CD22" w14:textId="77777777" w:rsidR="00EA30D8" w:rsidRPr="00503A06" w:rsidRDefault="00EA30D8" w:rsidP="00EA30D8">
      <w:pPr>
        <w:widowControl/>
        <w:rPr>
          <w:kern w:val="0"/>
          <w:sz w:val="22"/>
          <w:szCs w:val="22"/>
        </w:rPr>
      </w:pPr>
      <w:r w:rsidRPr="00503A06">
        <w:rPr>
          <w:rFonts w:eastAsia="黑体"/>
          <w:b/>
          <w:color w:val="000000"/>
          <w:sz w:val="22"/>
          <w:szCs w:val="22"/>
        </w:rPr>
        <w:t>Course Code</w:t>
      </w:r>
      <w:r w:rsidRPr="00503A06">
        <w:rPr>
          <w:color w:val="000000"/>
          <w:sz w:val="22"/>
          <w:szCs w:val="22"/>
        </w:rPr>
        <w:t>：</w:t>
      </w:r>
      <w:r w:rsidRPr="00503A06">
        <w:rPr>
          <w:kern w:val="0"/>
          <w:sz w:val="22"/>
          <w:szCs w:val="22"/>
        </w:rPr>
        <w:t>120201C12</w:t>
      </w:r>
    </w:p>
    <w:p w14:paraId="3BEE4F51" w14:textId="77777777" w:rsidR="00EA30D8" w:rsidRPr="00503A06" w:rsidRDefault="00EA30D8" w:rsidP="00EA30D8">
      <w:pPr>
        <w:spacing w:line="360" w:lineRule="auto"/>
        <w:rPr>
          <w:sz w:val="22"/>
          <w:szCs w:val="22"/>
        </w:rPr>
      </w:pPr>
      <w:r w:rsidRPr="00503A06">
        <w:rPr>
          <w:rFonts w:eastAsia="黑体"/>
          <w:b/>
          <w:color w:val="000000"/>
          <w:sz w:val="22"/>
          <w:szCs w:val="22"/>
        </w:rPr>
        <w:t>Credit</w:t>
      </w:r>
      <w:r w:rsidRPr="00503A06">
        <w:rPr>
          <w:color w:val="000000"/>
          <w:sz w:val="22"/>
          <w:szCs w:val="22"/>
        </w:rPr>
        <w:t>：</w:t>
      </w:r>
      <w:r w:rsidRPr="00503A06">
        <w:rPr>
          <w:color w:val="000000"/>
          <w:sz w:val="22"/>
          <w:szCs w:val="22"/>
        </w:rPr>
        <w:t>1</w:t>
      </w:r>
    </w:p>
    <w:p w14:paraId="4065B895" w14:textId="6231394D" w:rsidR="00EA30D8" w:rsidRPr="00503A06" w:rsidRDefault="00EA30D8" w:rsidP="00EA30D8">
      <w:pPr>
        <w:spacing w:line="360" w:lineRule="auto"/>
        <w:rPr>
          <w:sz w:val="22"/>
          <w:szCs w:val="22"/>
        </w:rPr>
      </w:pPr>
      <w:r w:rsidRPr="00503A06">
        <w:rPr>
          <w:rFonts w:eastAsia="黑体"/>
          <w:b/>
          <w:color w:val="000000"/>
          <w:sz w:val="22"/>
          <w:szCs w:val="22"/>
        </w:rPr>
        <w:t xml:space="preserve">Credit </w:t>
      </w:r>
      <w:r w:rsidR="003C4B6E" w:rsidRPr="00503A06">
        <w:rPr>
          <w:rFonts w:eastAsia="黑体"/>
          <w:b/>
          <w:color w:val="000000"/>
          <w:sz w:val="22"/>
          <w:szCs w:val="22"/>
        </w:rPr>
        <w:t>H</w:t>
      </w:r>
      <w:r w:rsidRPr="00503A06">
        <w:rPr>
          <w:rFonts w:eastAsia="黑体"/>
          <w:b/>
          <w:color w:val="000000"/>
          <w:sz w:val="22"/>
          <w:szCs w:val="22"/>
        </w:rPr>
        <w:t>ours</w:t>
      </w:r>
      <w:r w:rsidRPr="00503A06">
        <w:rPr>
          <w:color w:val="000000"/>
          <w:sz w:val="22"/>
          <w:szCs w:val="22"/>
        </w:rPr>
        <w:t>：</w:t>
      </w:r>
      <w:r w:rsidRPr="00503A06">
        <w:rPr>
          <w:color w:val="000000"/>
          <w:sz w:val="22"/>
          <w:szCs w:val="22"/>
        </w:rPr>
        <w:t xml:space="preserve"> 18</w:t>
      </w:r>
    </w:p>
    <w:p w14:paraId="19670406" w14:textId="3784520E" w:rsidR="00EA30D8" w:rsidRPr="00503A06" w:rsidRDefault="00EA30D8" w:rsidP="00EA30D8">
      <w:pPr>
        <w:spacing w:line="360" w:lineRule="auto"/>
        <w:rPr>
          <w:rFonts w:eastAsia="黑体"/>
          <w:b/>
          <w:color w:val="000000"/>
          <w:sz w:val="22"/>
          <w:szCs w:val="22"/>
        </w:rPr>
      </w:pPr>
      <w:r w:rsidRPr="00503A06">
        <w:rPr>
          <w:rFonts w:eastAsia="黑体"/>
          <w:b/>
          <w:color w:val="000000"/>
          <w:sz w:val="22"/>
          <w:szCs w:val="22"/>
        </w:rPr>
        <w:t>Program</w:t>
      </w:r>
      <w:r w:rsidRPr="00503A06">
        <w:rPr>
          <w:rFonts w:eastAsia="黑体"/>
          <w:b/>
          <w:color w:val="000000"/>
          <w:sz w:val="22"/>
          <w:szCs w:val="22"/>
        </w:rPr>
        <w:t>：</w:t>
      </w:r>
      <w:r w:rsidRPr="00503A06">
        <w:rPr>
          <w:rFonts w:eastAsia="黑体"/>
          <w:b/>
          <w:color w:val="000000"/>
          <w:sz w:val="22"/>
          <w:szCs w:val="22"/>
        </w:rPr>
        <w:t xml:space="preserve"> Master of Accounting </w:t>
      </w:r>
    </w:p>
    <w:p w14:paraId="20121021" w14:textId="77777777" w:rsidR="00EA30D8" w:rsidRPr="00503A06" w:rsidRDefault="00EA30D8" w:rsidP="00EA30D8">
      <w:pPr>
        <w:spacing w:line="360" w:lineRule="auto"/>
        <w:rPr>
          <w:rFonts w:eastAsia="黑体"/>
          <w:b/>
          <w:color w:val="000000"/>
          <w:sz w:val="22"/>
          <w:szCs w:val="22"/>
        </w:rPr>
      </w:pPr>
      <w:r w:rsidRPr="00503A06">
        <w:rPr>
          <w:rFonts w:eastAsia="黑体"/>
          <w:b/>
          <w:color w:val="000000"/>
          <w:sz w:val="22"/>
          <w:szCs w:val="22"/>
        </w:rPr>
        <w:t>Instructor:</w:t>
      </w:r>
    </w:p>
    <w:p w14:paraId="0CEB47F0" w14:textId="5846E44E" w:rsidR="006B72D6" w:rsidRPr="00503A06" w:rsidRDefault="006B72D6" w:rsidP="007C0328">
      <w:pPr>
        <w:spacing w:line="276" w:lineRule="auto"/>
        <w:rPr>
          <w:rFonts w:eastAsia="等线"/>
          <w:kern w:val="0"/>
          <w:sz w:val="22"/>
          <w:szCs w:val="22"/>
        </w:rPr>
      </w:pPr>
      <w:r w:rsidRPr="00503A06">
        <w:rPr>
          <w:rFonts w:eastAsia="等线"/>
          <w:kern w:val="0"/>
          <w:sz w:val="22"/>
          <w:szCs w:val="22"/>
        </w:rPr>
        <w:t xml:space="preserve">Dr. Qingmei Xue is an associate professor at Nanjing University. Her research interests include governance and information disclosure issues in public firms and not-for-public organizations in China. She primarily teaches financial accounting and international accounting at Nanjing University. In addition, she has been teaching at universities in Italy and the U.S. </w:t>
      </w:r>
      <w:r w:rsidR="001D3D47" w:rsidRPr="00503A06">
        <w:rPr>
          <w:rFonts w:eastAsia="等线"/>
          <w:kern w:val="0"/>
          <w:sz w:val="22"/>
          <w:szCs w:val="22"/>
        </w:rPr>
        <w:t>She also served on the first and second Advisory Council of the Chinese Accounting Standards Committee</w:t>
      </w:r>
      <w:r w:rsidRPr="00503A06">
        <w:rPr>
          <w:rFonts w:eastAsia="等线"/>
          <w:kern w:val="0"/>
          <w:sz w:val="22"/>
          <w:szCs w:val="22"/>
        </w:rPr>
        <w:t xml:space="preserve">. </w:t>
      </w:r>
    </w:p>
    <w:p w14:paraId="56BEC087" w14:textId="4F2E938E" w:rsidR="00EA30D8" w:rsidRPr="00503A06" w:rsidRDefault="00EA30D8" w:rsidP="00EA30D8">
      <w:pPr>
        <w:spacing w:line="360" w:lineRule="auto"/>
        <w:rPr>
          <w:rFonts w:eastAsia="黑体"/>
          <w:b/>
          <w:color w:val="000000"/>
          <w:sz w:val="22"/>
          <w:szCs w:val="22"/>
        </w:rPr>
      </w:pPr>
      <w:r w:rsidRPr="00503A06">
        <w:rPr>
          <w:rFonts w:eastAsia="黑体"/>
          <w:b/>
          <w:color w:val="000000"/>
          <w:sz w:val="22"/>
          <w:szCs w:val="22"/>
        </w:rPr>
        <w:t>Contact</w:t>
      </w:r>
      <w:r w:rsidR="005A2C2C" w:rsidRPr="00503A06">
        <w:rPr>
          <w:rFonts w:eastAsia="黑体"/>
          <w:b/>
          <w:color w:val="000000"/>
          <w:sz w:val="22"/>
          <w:szCs w:val="22"/>
        </w:rPr>
        <w:t xml:space="preserve"> Information</w:t>
      </w:r>
      <w:r w:rsidRPr="00503A06">
        <w:rPr>
          <w:rFonts w:eastAsia="黑体"/>
          <w:b/>
          <w:color w:val="000000"/>
          <w:sz w:val="22"/>
          <w:szCs w:val="22"/>
        </w:rPr>
        <w:t>：</w:t>
      </w:r>
    </w:p>
    <w:p w14:paraId="6EECD6D4" w14:textId="77777777" w:rsidR="00EA30D8" w:rsidRPr="00503A06" w:rsidRDefault="00EA30D8" w:rsidP="00EA30D8">
      <w:pPr>
        <w:spacing w:line="360" w:lineRule="auto"/>
        <w:ind w:firstLineChars="200" w:firstLine="440"/>
        <w:rPr>
          <w:color w:val="000000"/>
          <w:sz w:val="22"/>
          <w:szCs w:val="22"/>
        </w:rPr>
      </w:pPr>
      <w:r w:rsidRPr="00503A06">
        <w:rPr>
          <w:color w:val="000000"/>
          <w:sz w:val="22"/>
          <w:szCs w:val="22"/>
        </w:rPr>
        <w:t>Tel</w:t>
      </w:r>
      <w:r w:rsidRPr="00503A06">
        <w:rPr>
          <w:color w:val="000000"/>
          <w:sz w:val="22"/>
          <w:szCs w:val="22"/>
        </w:rPr>
        <w:t>：</w:t>
      </w:r>
      <w:r w:rsidRPr="00503A06">
        <w:rPr>
          <w:sz w:val="22"/>
          <w:szCs w:val="22"/>
        </w:rPr>
        <w:t>025-83621029</w:t>
      </w:r>
      <w:r w:rsidRPr="00503A06">
        <w:rPr>
          <w:color w:val="000000"/>
          <w:sz w:val="22"/>
          <w:szCs w:val="22"/>
        </w:rPr>
        <w:t>（</w:t>
      </w:r>
      <w:proofErr w:type="spellStart"/>
      <w:r w:rsidRPr="00503A06">
        <w:rPr>
          <w:color w:val="000000"/>
          <w:sz w:val="22"/>
          <w:szCs w:val="22"/>
        </w:rPr>
        <w:t>O</w:t>
      </w:r>
      <w:proofErr w:type="spellEnd"/>
      <w:r w:rsidRPr="00503A06">
        <w:rPr>
          <w:color w:val="000000"/>
          <w:sz w:val="22"/>
          <w:szCs w:val="22"/>
        </w:rPr>
        <w:t>）</w:t>
      </w:r>
      <w:r w:rsidRPr="00503A06">
        <w:rPr>
          <w:color w:val="000000"/>
          <w:sz w:val="22"/>
          <w:szCs w:val="22"/>
        </w:rPr>
        <w:t xml:space="preserve">                         Email: </w:t>
      </w:r>
      <w:hyperlink r:id="rId7" w:history="1">
        <w:r w:rsidRPr="00503A06">
          <w:rPr>
            <w:rStyle w:val="a3"/>
            <w:sz w:val="22"/>
            <w:szCs w:val="22"/>
          </w:rPr>
          <w:t>xueqm@nju.edu.cn</w:t>
        </w:r>
      </w:hyperlink>
      <w:r w:rsidRPr="00503A06">
        <w:rPr>
          <w:color w:val="000000"/>
          <w:sz w:val="22"/>
          <w:szCs w:val="22"/>
        </w:rPr>
        <w:t>;</w:t>
      </w:r>
    </w:p>
    <w:p w14:paraId="38B74D7A" w14:textId="65C62A9B" w:rsidR="00EA30D8" w:rsidRPr="00503A06" w:rsidRDefault="00BB6FA4" w:rsidP="00EA30D8">
      <w:pPr>
        <w:spacing w:line="360" w:lineRule="auto"/>
        <w:ind w:firstLine="420"/>
        <w:rPr>
          <w:sz w:val="22"/>
          <w:szCs w:val="22"/>
        </w:rPr>
      </w:pPr>
      <w:r w:rsidRPr="00503A06">
        <w:rPr>
          <w:sz w:val="22"/>
          <w:szCs w:val="22"/>
        </w:rPr>
        <w:t xml:space="preserve">Homepage: </w:t>
      </w:r>
      <w:r w:rsidR="00EA30D8" w:rsidRPr="00503A06">
        <w:rPr>
          <w:sz w:val="22"/>
          <w:szCs w:val="22"/>
        </w:rPr>
        <w:t>https://nubs.nju.edu.cn/xqm/list.htm</w:t>
      </w:r>
    </w:p>
    <w:p w14:paraId="62EAE8CC" w14:textId="77777777" w:rsidR="00EA30D8" w:rsidRPr="00503A06" w:rsidRDefault="00EA30D8" w:rsidP="00EA30D8">
      <w:pPr>
        <w:outlineLvl w:val="0"/>
        <w:rPr>
          <w:rFonts w:eastAsia="等线"/>
          <w:b/>
          <w:kern w:val="0"/>
          <w:sz w:val="22"/>
          <w:szCs w:val="22"/>
        </w:rPr>
      </w:pPr>
      <w:r w:rsidRPr="00503A06">
        <w:rPr>
          <w:rFonts w:eastAsia="等线"/>
          <w:b/>
          <w:kern w:val="0"/>
          <w:sz w:val="22"/>
          <w:szCs w:val="22"/>
        </w:rPr>
        <w:t>Course Description and Content</w:t>
      </w:r>
    </w:p>
    <w:p w14:paraId="028EF590" w14:textId="77777777" w:rsidR="00B77172" w:rsidRPr="00B77172" w:rsidRDefault="00B77172" w:rsidP="0076606C">
      <w:pPr>
        <w:outlineLvl w:val="0"/>
        <w:rPr>
          <w:rFonts w:eastAsia="等线"/>
          <w:bCs/>
          <w:kern w:val="0"/>
          <w:sz w:val="22"/>
          <w:szCs w:val="22"/>
        </w:rPr>
      </w:pPr>
      <w:r w:rsidRPr="00B77172">
        <w:rPr>
          <w:rFonts w:eastAsia="等线"/>
          <w:bCs/>
          <w:kern w:val="0"/>
          <w:sz w:val="22"/>
          <w:szCs w:val="22"/>
        </w:rPr>
        <w:t>This course examines how accounting knowledge shapes international accounting standard setting and financial reporting practice. Rather than treating accounting standards as purely technical rules, the course explores standard setting as an evidence-based, institutional, and socially embedded process influenced by competing ideas about transparency, decision usefulness, accountability, and economic consequences.</w:t>
      </w:r>
    </w:p>
    <w:p w14:paraId="416F341C" w14:textId="77777777" w:rsidR="00B77172" w:rsidRPr="00B77172" w:rsidRDefault="00B77172" w:rsidP="0076606C">
      <w:pPr>
        <w:outlineLvl w:val="0"/>
        <w:rPr>
          <w:rFonts w:eastAsia="等线"/>
          <w:bCs/>
          <w:kern w:val="0"/>
          <w:sz w:val="22"/>
          <w:szCs w:val="22"/>
        </w:rPr>
      </w:pPr>
      <w:r w:rsidRPr="00B77172">
        <w:rPr>
          <w:rFonts w:eastAsia="等线"/>
          <w:bCs/>
          <w:kern w:val="0"/>
          <w:sz w:val="22"/>
          <w:szCs w:val="22"/>
        </w:rPr>
        <w:t>The course introduces major issues in international accounting and international accounting research, including the development of IFRS, the role of the IASB, the IFRS Conceptual Framework, and current standard-setting debates. Students will critically evaluate how academic research contributes to accounting practice and policy making, and how accounting concepts may be interpreted and transformed across different institutional contexts, particularly in China.</w:t>
      </w:r>
    </w:p>
    <w:p w14:paraId="622EE2C0" w14:textId="77777777" w:rsidR="00B77172" w:rsidRPr="00B77172" w:rsidRDefault="00B77172" w:rsidP="0076606C">
      <w:pPr>
        <w:outlineLvl w:val="0"/>
        <w:rPr>
          <w:rFonts w:eastAsia="等线"/>
          <w:bCs/>
          <w:kern w:val="0"/>
          <w:sz w:val="22"/>
          <w:szCs w:val="22"/>
        </w:rPr>
      </w:pPr>
      <w:r w:rsidRPr="00B77172">
        <w:rPr>
          <w:rFonts w:eastAsia="等线"/>
          <w:bCs/>
          <w:kern w:val="0"/>
          <w:sz w:val="22"/>
          <w:szCs w:val="22"/>
        </w:rPr>
        <w:t>Topics include research relevance and evidence-based standard setting, methodological diversity in accounting research, decision usefulness and qualitative characteristics of accounting information, business combinations under common control, goodwill accounting, intangible assets, and the potential impact of artificial intelligence on accounting research and global participation in standard setting.</w:t>
      </w:r>
    </w:p>
    <w:p w14:paraId="3BBDC2A8" w14:textId="77777777" w:rsidR="00B77172" w:rsidRPr="00B77172" w:rsidRDefault="00B77172" w:rsidP="0076606C">
      <w:pPr>
        <w:outlineLvl w:val="0"/>
        <w:rPr>
          <w:rFonts w:eastAsia="等线"/>
          <w:bCs/>
          <w:kern w:val="0"/>
          <w:sz w:val="22"/>
          <w:szCs w:val="22"/>
        </w:rPr>
      </w:pPr>
      <w:r w:rsidRPr="00B77172">
        <w:rPr>
          <w:rFonts w:eastAsia="等线"/>
          <w:bCs/>
          <w:kern w:val="0"/>
          <w:sz w:val="22"/>
          <w:szCs w:val="22"/>
        </w:rPr>
        <w:t>The course adopts a discussion-based and research-oriented approach that emphasizes critical thinking, collaborative inquiry, policy analysis, and evidence-based argumentation through lectures, debates, case analysis, group discussions, presentations, and research projects.</w:t>
      </w:r>
    </w:p>
    <w:p w14:paraId="77034095" w14:textId="44E8DEED" w:rsidR="00030ABA" w:rsidRPr="00503A06" w:rsidRDefault="00030ABA" w:rsidP="0076606C">
      <w:pPr>
        <w:spacing w:before="240"/>
        <w:outlineLvl w:val="0"/>
        <w:rPr>
          <w:rFonts w:eastAsia="等线"/>
          <w:b/>
          <w:kern w:val="0"/>
          <w:sz w:val="22"/>
          <w:szCs w:val="22"/>
        </w:rPr>
      </w:pPr>
      <w:r w:rsidRPr="00503A06">
        <w:rPr>
          <w:rFonts w:eastAsia="等线"/>
          <w:b/>
          <w:kern w:val="0"/>
          <w:sz w:val="22"/>
          <w:szCs w:val="22"/>
        </w:rPr>
        <w:t>Course Objectives</w:t>
      </w:r>
    </w:p>
    <w:p w14:paraId="483A10FC" w14:textId="77777777" w:rsidR="00990781" w:rsidRPr="00990781" w:rsidRDefault="00990781" w:rsidP="0076606C">
      <w:pPr>
        <w:widowControl/>
        <w:spacing w:line="400" w:lineRule="exact"/>
        <w:ind w:left="420"/>
        <w:jc w:val="left"/>
        <w:rPr>
          <w:kern w:val="0"/>
          <w:sz w:val="22"/>
          <w:szCs w:val="22"/>
        </w:rPr>
      </w:pPr>
      <w:r w:rsidRPr="00990781">
        <w:rPr>
          <w:kern w:val="0"/>
          <w:sz w:val="22"/>
          <w:szCs w:val="22"/>
        </w:rPr>
        <w:lastRenderedPageBreak/>
        <w:t>By the end of this course, students should be able to:</w:t>
      </w:r>
    </w:p>
    <w:p w14:paraId="76AA7F4A" w14:textId="4E4C34D1" w:rsidR="00990781" w:rsidRPr="00990781" w:rsidRDefault="00990781" w:rsidP="0076606C">
      <w:pPr>
        <w:widowControl/>
        <w:numPr>
          <w:ilvl w:val="0"/>
          <w:numId w:val="21"/>
        </w:numPr>
        <w:spacing w:line="400" w:lineRule="exact"/>
        <w:jc w:val="left"/>
        <w:rPr>
          <w:kern w:val="0"/>
          <w:sz w:val="22"/>
          <w:szCs w:val="22"/>
        </w:rPr>
      </w:pPr>
      <w:r w:rsidRPr="00990781">
        <w:rPr>
          <w:kern w:val="0"/>
          <w:sz w:val="22"/>
          <w:szCs w:val="22"/>
        </w:rPr>
        <w:t>Understand the institutional background, conceptual foundations, and development of international accounting standards and standard-setting processes.</w:t>
      </w:r>
      <w:r w:rsidR="000D382F">
        <w:rPr>
          <w:rFonts w:hint="eastAsia"/>
          <w:kern w:val="0"/>
          <w:sz w:val="22"/>
          <w:szCs w:val="22"/>
        </w:rPr>
        <w:t xml:space="preserve"> </w:t>
      </w:r>
      <w:r w:rsidRPr="00990781">
        <w:rPr>
          <w:kern w:val="0"/>
          <w:sz w:val="22"/>
          <w:szCs w:val="22"/>
        </w:rPr>
        <w:t xml:space="preserve">(FK, SK, IP) </w:t>
      </w:r>
    </w:p>
    <w:p w14:paraId="05E241BB" w14:textId="108E86DA" w:rsidR="00990781" w:rsidRPr="00990781" w:rsidRDefault="00990781" w:rsidP="0076606C">
      <w:pPr>
        <w:widowControl/>
        <w:numPr>
          <w:ilvl w:val="0"/>
          <w:numId w:val="21"/>
        </w:numPr>
        <w:spacing w:line="400" w:lineRule="exact"/>
        <w:jc w:val="left"/>
        <w:rPr>
          <w:kern w:val="0"/>
          <w:sz w:val="22"/>
          <w:szCs w:val="22"/>
        </w:rPr>
      </w:pPr>
      <w:r w:rsidRPr="00990781">
        <w:rPr>
          <w:kern w:val="0"/>
          <w:sz w:val="22"/>
          <w:szCs w:val="22"/>
        </w:rPr>
        <w:t>Critically evaluate academic research and its relevance to accounting practice, financial reporting, and international standard setting.</w:t>
      </w:r>
      <w:r w:rsidR="000D382F">
        <w:rPr>
          <w:rFonts w:hint="eastAsia"/>
          <w:kern w:val="0"/>
          <w:sz w:val="22"/>
          <w:szCs w:val="22"/>
        </w:rPr>
        <w:t xml:space="preserve"> </w:t>
      </w:r>
      <w:r w:rsidRPr="00990781">
        <w:rPr>
          <w:kern w:val="0"/>
          <w:sz w:val="22"/>
          <w:szCs w:val="22"/>
        </w:rPr>
        <w:t xml:space="preserve">(SK, PS, QT) </w:t>
      </w:r>
    </w:p>
    <w:p w14:paraId="5400628C" w14:textId="5B75823F" w:rsidR="00990781" w:rsidRPr="00990781" w:rsidRDefault="00990781" w:rsidP="0076606C">
      <w:pPr>
        <w:widowControl/>
        <w:numPr>
          <w:ilvl w:val="0"/>
          <w:numId w:val="21"/>
        </w:numPr>
        <w:spacing w:line="400" w:lineRule="exact"/>
        <w:jc w:val="left"/>
        <w:rPr>
          <w:kern w:val="0"/>
          <w:sz w:val="22"/>
          <w:szCs w:val="22"/>
        </w:rPr>
      </w:pPr>
      <w:r w:rsidRPr="00990781">
        <w:rPr>
          <w:kern w:val="0"/>
          <w:sz w:val="22"/>
          <w:szCs w:val="22"/>
        </w:rPr>
        <w:t>Analyze accounting issues using evidence-based reasoning and apply conceptual framework thinking to standard-setting debates and policy problems.</w:t>
      </w:r>
      <w:r w:rsidR="000D382F">
        <w:rPr>
          <w:rFonts w:hint="eastAsia"/>
          <w:kern w:val="0"/>
          <w:sz w:val="22"/>
          <w:szCs w:val="22"/>
        </w:rPr>
        <w:t xml:space="preserve"> </w:t>
      </w:r>
      <w:r w:rsidRPr="00990781">
        <w:rPr>
          <w:kern w:val="0"/>
          <w:sz w:val="22"/>
          <w:szCs w:val="22"/>
        </w:rPr>
        <w:t xml:space="preserve">(PS, QT, MI) </w:t>
      </w:r>
    </w:p>
    <w:p w14:paraId="2DD176DE" w14:textId="04F58ED7" w:rsidR="00990781" w:rsidRPr="00990781" w:rsidRDefault="00990781" w:rsidP="0076606C">
      <w:pPr>
        <w:widowControl/>
        <w:numPr>
          <w:ilvl w:val="0"/>
          <w:numId w:val="21"/>
        </w:numPr>
        <w:spacing w:line="400" w:lineRule="exact"/>
        <w:jc w:val="left"/>
        <w:rPr>
          <w:kern w:val="0"/>
          <w:sz w:val="22"/>
          <w:szCs w:val="22"/>
        </w:rPr>
      </w:pPr>
      <w:r w:rsidRPr="00990781">
        <w:rPr>
          <w:kern w:val="0"/>
          <w:sz w:val="22"/>
          <w:szCs w:val="22"/>
        </w:rPr>
        <w:t>Develop communication, teamwork, and policy analysis skills through debates, case discussions, presentations, and collaborative research activities.</w:t>
      </w:r>
      <w:r w:rsidR="000D382F">
        <w:rPr>
          <w:rFonts w:hint="eastAsia"/>
          <w:kern w:val="0"/>
          <w:sz w:val="22"/>
          <w:szCs w:val="22"/>
        </w:rPr>
        <w:t xml:space="preserve"> </w:t>
      </w:r>
      <w:r w:rsidRPr="00990781">
        <w:rPr>
          <w:kern w:val="0"/>
          <w:sz w:val="22"/>
          <w:szCs w:val="22"/>
        </w:rPr>
        <w:t xml:space="preserve">(TC, MI, IP) </w:t>
      </w:r>
    </w:p>
    <w:p w14:paraId="57C9EC9A" w14:textId="0B1D7A9D" w:rsidR="00990781" w:rsidRPr="00990781" w:rsidRDefault="00990781" w:rsidP="0076606C">
      <w:pPr>
        <w:widowControl/>
        <w:numPr>
          <w:ilvl w:val="0"/>
          <w:numId w:val="21"/>
        </w:numPr>
        <w:spacing w:line="400" w:lineRule="exact"/>
        <w:jc w:val="left"/>
        <w:rPr>
          <w:kern w:val="0"/>
          <w:sz w:val="22"/>
          <w:szCs w:val="22"/>
        </w:rPr>
      </w:pPr>
      <w:r w:rsidRPr="00990781">
        <w:rPr>
          <w:kern w:val="0"/>
          <w:sz w:val="22"/>
          <w:szCs w:val="22"/>
        </w:rPr>
        <w:t>Enhance awareness of the social, institutional, and international implications of accounting standards, reporting practices, and emerging technologies such as AI.</w:t>
      </w:r>
      <w:r w:rsidR="000D382F">
        <w:rPr>
          <w:rFonts w:hint="eastAsia"/>
          <w:kern w:val="0"/>
          <w:sz w:val="22"/>
          <w:szCs w:val="22"/>
        </w:rPr>
        <w:t xml:space="preserve"> </w:t>
      </w:r>
      <w:r w:rsidRPr="00990781">
        <w:rPr>
          <w:kern w:val="0"/>
          <w:sz w:val="22"/>
          <w:szCs w:val="22"/>
        </w:rPr>
        <w:t>(IP, SE, SR)</w:t>
      </w:r>
    </w:p>
    <w:p w14:paraId="018A3848" w14:textId="5E5D50F0" w:rsidR="00152DF6" w:rsidRPr="00503A06" w:rsidRDefault="00FA5AB2" w:rsidP="0076606C">
      <w:pPr>
        <w:widowControl/>
        <w:spacing w:before="240" w:line="400" w:lineRule="exact"/>
        <w:ind w:left="420"/>
        <w:jc w:val="left"/>
        <w:rPr>
          <w:kern w:val="0"/>
          <w:sz w:val="22"/>
          <w:szCs w:val="22"/>
        </w:rPr>
      </w:pPr>
      <w:r w:rsidRPr="000D382F">
        <w:rPr>
          <w:b/>
          <w:bCs/>
          <w:color w:val="404040"/>
          <w:sz w:val="22"/>
          <w:szCs w:val="22"/>
        </w:rPr>
        <w:t>Prerequisite:</w:t>
      </w:r>
      <w:r w:rsidRPr="00503A06">
        <w:rPr>
          <w:color w:val="404040"/>
          <w:sz w:val="22"/>
          <w:szCs w:val="22"/>
        </w:rPr>
        <w:t xml:space="preserve"> Intermediate Financial Accounting; Advanced Financial Accounting; Accounting Theory; Proficiency in English</w:t>
      </w:r>
    </w:p>
    <w:p w14:paraId="6AD3E0CF" w14:textId="77777777" w:rsidR="00A900C1" w:rsidRPr="00503A06" w:rsidRDefault="00A900C1" w:rsidP="00A900C1">
      <w:pPr>
        <w:widowControl/>
        <w:spacing w:before="75" w:after="75" w:line="360" w:lineRule="atLeast"/>
        <w:jc w:val="left"/>
        <w:rPr>
          <w:kern w:val="0"/>
          <w:sz w:val="22"/>
          <w:szCs w:val="22"/>
        </w:rPr>
      </w:pPr>
      <w:r w:rsidRPr="00503A06">
        <w:rPr>
          <w:b/>
          <w:bCs/>
          <w:kern w:val="0"/>
          <w:sz w:val="22"/>
          <w:szCs w:val="22"/>
        </w:rPr>
        <w:t>Teaching Method</w:t>
      </w:r>
    </w:p>
    <w:p w14:paraId="5B356648" w14:textId="77777777" w:rsidR="00E43932" w:rsidRPr="00E43932" w:rsidRDefault="00E43932" w:rsidP="0076606C">
      <w:pPr>
        <w:spacing w:line="276" w:lineRule="auto"/>
        <w:rPr>
          <w:color w:val="404040"/>
          <w:kern w:val="0"/>
          <w:sz w:val="22"/>
          <w:szCs w:val="22"/>
        </w:rPr>
      </w:pPr>
      <w:r w:rsidRPr="00E43932">
        <w:rPr>
          <w:color w:val="404040"/>
          <w:kern w:val="0"/>
          <w:sz w:val="22"/>
          <w:szCs w:val="22"/>
        </w:rPr>
        <w:t>This seminar-style course adopts a discussion-based and research-oriented learning approach that emphasizes active participation, collaborative inquiry, and evidence-based analysis. The course combines instructor lectures with student-centered learning through debates, case discussions, group presentations, policy-oriented analysis, and collaborative research projects.</w:t>
      </w:r>
    </w:p>
    <w:p w14:paraId="2AA1C315" w14:textId="77777777" w:rsidR="00E43932" w:rsidRPr="00E43932" w:rsidRDefault="00E43932" w:rsidP="0076606C">
      <w:pPr>
        <w:spacing w:line="276" w:lineRule="auto"/>
        <w:rPr>
          <w:color w:val="404040"/>
          <w:kern w:val="0"/>
          <w:sz w:val="22"/>
          <w:szCs w:val="22"/>
        </w:rPr>
      </w:pPr>
      <w:r w:rsidRPr="00E43932">
        <w:rPr>
          <w:color w:val="404040"/>
          <w:kern w:val="0"/>
          <w:sz w:val="22"/>
          <w:szCs w:val="22"/>
        </w:rPr>
        <w:t>Students are expected to engage critically with academic literature, IFRS materials, IASB documents, and selected cases before class. Many class sessions are organized around group activities designed to encourage students to evaluate how accounting research contributes to accounting practice, international standard setting, and policy making.</w:t>
      </w:r>
    </w:p>
    <w:p w14:paraId="1AC5B7D3" w14:textId="77777777" w:rsidR="00E43932" w:rsidRPr="00E43932" w:rsidRDefault="00E43932" w:rsidP="0076606C">
      <w:pPr>
        <w:spacing w:line="276" w:lineRule="auto"/>
        <w:rPr>
          <w:color w:val="404040"/>
          <w:kern w:val="0"/>
          <w:sz w:val="22"/>
          <w:szCs w:val="22"/>
        </w:rPr>
      </w:pPr>
      <w:r w:rsidRPr="00E43932">
        <w:rPr>
          <w:color w:val="404040"/>
          <w:kern w:val="0"/>
          <w:sz w:val="22"/>
          <w:szCs w:val="22"/>
        </w:rPr>
        <w:t>The course introduces students to multiple research approaches in accounting research, including positivist and interpretive perspectives, and encourages students to critically reflect on the strengths and limitations of different forms of evidence in standard-setting processes.</w:t>
      </w:r>
    </w:p>
    <w:p w14:paraId="2E29E029" w14:textId="77777777" w:rsidR="00E43932" w:rsidRPr="00E43932" w:rsidRDefault="00E43932" w:rsidP="0076606C">
      <w:pPr>
        <w:spacing w:line="276" w:lineRule="auto"/>
        <w:rPr>
          <w:color w:val="404040"/>
          <w:kern w:val="0"/>
          <w:sz w:val="22"/>
          <w:szCs w:val="22"/>
        </w:rPr>
      </w:pPr>
      <w:r w:rsidRPr="00E43932">
        <w:rPr>
          <w:color w:val="404040"/>
          <w:kern w:val="0"/>
          <w:sz w:val="22"/>
          <w:szCs w:val="22"/>
        </w:rPr>
        <w:t>Several sessions include role-based discussions, structured debates, and case analysis activities that simulate elements of standard-setting deliberation and institutional decision making. Through these activities, students will develop analytical reasoning, critical thinking, communication, teamwork, and policy evaluation skills.</w:t>
      </w:r>
    </w:p>
    <w:p w14:paraId="17895BD0" w14:textId="77777777" w:rsidR="00E43932" w:rsidRPr="00E43932" w:rsidRDefault="00E43932" w:rsidP="0076606C">
      <w:pPr>
        <w:spacing w:line="276" w:lineRule="auto"/>
        <w:rPr>
          <w:color w:val="404040"/>
          <w:kern w:val="0"/>
          <w:sz w:val="22"/>
          <w:szCs w:val="22"/>
        </w:rPr>
      </w:pPr>
      <w:r w:rsidRPr="00E43932">
        <w:rPr>
          <w:color w:val="404040"/>
          <w:kern w:val="0"/>
          <w:sz w:val="22"/>
          <w:szCs w:val="22"/>
        </w:rPr>
        <w:t>The responsible use of AI tools is permitted in this course. Students may use AI tools to support idea generation, information organization, preliminary analysis, and language assistance. However, all AI use must be transparently disclosed, including the tool used and its purpose. Students remain fully responsible for the accuracy, originality, interpretation, and critical evaluation of all submitted work. AI tools are intended to support, rather than replace, independent thinking and academic judgment.</w:t>
      </w:r>
    </w:p>
    <w:p w14:paraId="69E14842" w14:textId="77777777" w:rsidR="00A479F7" w:rsidRDefault="00A479F7" w:rsidP="0076606C">
      <w:pPr>
        <w:spacing w:line="276" w:lineRule="auto"/>
        <w:rPr>
          <w:b/>
          <w:sz w:val="22"/>
          <w:szCs w:val="22"/>
        </w:rPr>
      </w:pPr>
    </w:p>
    <w:p w14:paraId="604A937B" w14:textId="3E661058" w:rsidR="00D14EBD" w:rsidRDefault="00CB7C89" w:rsidP="00A900C1">
      <w:pPr>
        <w:spacing w:line="360" w:lineRule="auto"/>
        <w:rPr>
          <w:b/>
          <w:sz w:val="22"/>
          <w:szCs w:val="22"/>
        </w:rPr>
      </w:pPr>
      <w:r>
        <w:rPr>
          <w:rFonts w:hint="eastAsia"/>
          <w:b/>
          <w:sz w:val="22"/>
          <w:szCs w:val="22"/>
        </w:rPr>
        <w:t>Class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9"/>
        <w:gridCol w:w="3864"/>
        <w:gridCol w:w="3623"/>
      </w:tblGrid>
      <w:tr w:rsidR="00CB7C89" w:rsidRPr="00F441C1" w14:paraId="14BE42F7" w14:textId="77777777" w:rsidTr="00CB7C89">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BDDC6AC" w14:textId="77777777" w:rsidR="00CB7C89" w:rsidRPr="00F37DC4" w:rsidRDefault="00CB7C89" w:rsidP="00F441C1">
            <w:pPr>
              <w:spacing w:line="360" w:lineRule="auto"/>
              <w:rPr>
                <w:b/>
                <w:bCs/>
                <w:szCs w:val="21"/>
              </w:rPr>
            </w:pPr>
            <w:r w:rsidRPr="00F37DC4">
              <w:rPr>
                <w:b/>
                <w:bCs/>
                <w:szCs w:val="21"/>
              </w:rPr>
              <w:t>Session</w:t>
            </w:r>
          </w:p>
        </w:tc>
        <w:tc>
          <w:tcPr>
            <w:tcW w:w="3834" w:type="dxa"/>
            <w:tcBorders>
              <w:top w:val="single" w:sz="4" w:space="0" w:color="auto"/>
              <w:left w:val="single" w:sz="4" w:space="0" w:color="auto"/>
              <w:bottom w:val="single" w:sz="4" w:space="0" w:color="auto"/>
              <w:right w:val="single" w:sz="4" w:space="0" w:color="auto"/>
            </w:tcBorders>
            <w:vAlign w:val="center"/>
            <w:hideMark/>
          </w:tcPr>
          <w:p w14:paraId="661B9D02" w14:textId="77777777" w:rsidR="00CB7C89" w:rsidRPr="00F37DC4" w:rsidRDefault="00CB7C89" w:rsidP="00F441C1">
            <w:pPr>
              <w:spacing w:line="360" w:lineRule="auto"/>
              <w:rPr>
                <w:b/>
                <w:bCs/>
                <w:szCs w:val="21"/>
              </w:rPr>
            </w:pPr>
            <w:r w:rsidRPr="00F37DC4">
              <w:rPr>
                <w:b/>
                <w:bCs/>
                <w:szCs w:val="21"/>
              </w:rPr>
              <w:t>Topics</w:t>
            </w:r>
          </w:p>
        </w:tc>
        <w:tc>
          <w:tcPr>
            <w:tcW w:w="3578" w:type="dxa"/>
            <w:tcBorders>
              <w:top w:val="single" w:sz="4" w:space="0" w:color="auto"/>
              <w:left w:val="single" w:sz="4" w:space="0" w:color="auto"/>
              <w:bottom w:val="single" w:sz="4" w:space="0" w:color="auto"/>
              <w:right w:val="single" w:sz="4" w:space="0" w:color="auto"/>
            </w:tcBorders>
            <w:vAlign w:val="center"/>
            <w:hideMark/>
          </w:tcPr>
          <w:p w14:paraId="4C633E7A" w14:textId="77777777" w:rsidR="00CB7C89" w:rsidRPr="00F37DC4" w:rsidRDefault="00CB7C89" w:rsidP="00F441C1">
            <w:pPr>
              <w:spacing w:line="360" w:lineRule="auto"/>
              <w:rPr>
                <w:b/>
                <w:bCs/>
                <w:szCs w:val="21"/>
              </w:rPr>
            </w:pPr>
            <w:r w:rsidRPr="00F37DC4">
              <w:rPr>
                <w:b/>
                <w:bCs/>
                <w:szCs w:val="21"/>
              </w:rPr>
              <w:t>Group Work / Activities</w:t>
            </w:r>
          </w:p>
        </w:tc>
      </w:tr>
      <w:tr w:rsidR="00CB7C89" w:rsidRPr="00F441C1" w14:paraId="14703F00" w14:textId="77777777" w:rsidTr="00CB7C8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21BC9C8" w14:textId="77777777" w:rsidR="00CB7C89" w:rsidRPr="00F441C1" w:rsidRDefault="00CB7C89" w:rsidP="00F441C1">
            <w:pPr>
              <w:spacing w:line="360" w:lineRule="auto"/>
              <w:rPr>
                <w:szCs w:val="21"/>
              </w:rPr>
            </w:pPr>
            <w:r w:rsidRPr="00F441C1">
              <w:rPr>
                <w:szCs w:val="21"/>
              </w:rPr>
              <w:t>Session 1</w:t>
            </w:r>
          </w:p>
        </w:tc>
        <w:tc>
          <w:tcPr>
            <w:tcW w:w="3834" w:type="dxa"/>
            <w:tcBorders>
              <w:top w:val="single" w:sz="4" w:space="0" w:color="auto"/>
              <w:left w:val="single" w:sz="4" w:space="0" w:color="auto"/>
              <w:bottom w:val="single" w:sz="4" w:space="0" w:color="auto"/>
              <w:right w:val="single" w:sz="4" w:space="0" w:color="auto"/>
            </w:tcBorders>
            <w:vAlign w:val="center"/>
            <w:hideMark/>
          </w:tcPr>
          <w:p w14:paraId="4B3B3E14" w14:textId="77777777" w:rsidR="00880CD3" w:rsidRDefault="00CB7C89" w:rsidP="00F441C1">
            <w:pPr>
              <w:spacing w:line="360" w:lineRule="auto"/>
              <w:rPr>
                <w:szCs w:val="21"/>
              </w:rPr>
            </w:pPr>
            <w:r w:rsidRPr="00F441C1">
              <w:rPr>
                <w:szCs w:val="21"/>
              </w:rPr>
              <w:t xml:space="preserve">Introduction to International Accounting and IFRS </w:t>
            </w:r>
          </w:p>
          <w:p w14:paraId="07ACC528" w14:textId="77777777" w:rsidR="00880CD3" w:rsidRDefault="00CB7C89" w:rsidP="00F441C1">
            <w:pPr>
              <w:spacing w:line="360" w:lineRule="auto"/>
              <w:rPr>
                <w:szCs w:val="21"/>
              </w:rPr>
            </w:pPr>
            <w:r w:rsidRPr="00F441C1">
              <w:rPr>
                <w:szCs w:val="21"/>
              </w:rPr>
              <w:t xml:space="preserve">• Development of international accounting </w:t>
            </w:r>
          </w:p>
          <w:p w14:paraId="64F497CA" w14:textId="77777777" w:rsidR="00880CD3" w:rsidRDefault="00CB7C89" w:rsidP="00F441C1">
            <w:pPr>
              <w:spacing w:line="360" w:lineRule="auto"/>
              <w:rPr>
                <w:szCs w:val="21"/>
              </w:rPr>
            </w:pPr>
            <w:r w:rsidRPr="00F441C1">
              <w:rPr>
                <w:szCs w:val="21"/>
              </w:rPr>
              <w:t xml:space="preserve">• IASB and IFRS Foundation </w:t>
            </w:r>
          </w:p>
          <w:p w14:paraId="5F18E581" w14:textId="3AA95B77" w:rsidR="00CB7C89" w:rsidRPr="00F441C1" w:rsidRDefault="00CB7C89" w:rsidP="00337AC3">
            <w:pPr>
              <w:spacing w:line="360" w:lineRule="auto"/>
              <w:rPr>
                <w:szCs w:val="21"/>
              </w:rPr>
            </w:pPr>
            <w:r w:rsidRPr="00F441C1">
              <w:rPr>
                <w:szCs w:val="21"/>
              </w:rPr>
              <w:t>• IFRS controversies</w:t>
            </w:r>
          </w:p>
        </w:tc>
        <w:tc>
          <w:tcPr>
            <w:tcW w:w="3578" w:type="dxa"/>
            <w:tcBorders>
              <w:top w:val="single" w:sz="4" w:space="0" w:color="auto"/>
              <w:left w:val="single" w:sz="4" w:space="0" w:color="auto"/>
              <w:bottom w:val="single" w:sz="4" w:space="0" w:color="auto"/>
              <w:right w:val="single" w:sz="4" w:space="0" w:color="auto"/>
            </w:tcBorders>
            <w:vAlign w:val="center"/>
            <w:hideMark/>
          </w:tcPr>
          <w:p w14:paraId="106E4E67" w14:textId="60F65044" w:rsidR="00880CD3" w:rsidRDefault="00072816" w:rsidP="00F441C1">
            <w:pPr>
              <w:spacing w:line="360" w:lineRule="auto"/>
              <w:rPr>
                <w:szCs w:val="21"/>
              </w:rPr>
            </w:pPr>
            <w:r>
              <w:rPr>
                <w:rFonts w:hint="eastAsia"/>
                <w:szCs w:val="21"/>
              </w:rPr>
              <w:t>Assign</w:t>
            </w:r>
            <w:r w:rsidRPr="00F37DC4">
              <w:rPr>
                <w:rFonts w:hint="eastAsia"/>
                <w:b/>
                <w:bCs/>
                <w:szCs w:val="21"/>
              </w:rPr>
              <w:t xml:space="preserve"> </w:t>
            </w:r>
            <w:r w:rsidR="00CB7C89" w:rsidRPr="00F37DC4">
              <w:rPr>
                <w:b/>
                <w:bCs/>
                <w:szCs w:val="21"/>
              </w:rPr>
              <w:t>Group Presentation</w:t>
            </w:r>
            <w:r w:rsidR="00CB7C89" w:rsidRPr="00F441C1">
              <w:rPr>
                <w:szCs w:val="21"/>
              </w:rPr>
              <w:t xml:space="preserve"> 1 </w:t>
            </w:r>
          </w:p>
          <w:p w14:paraId="7FCC1C37" w14:textId="77777777" w:rsidR="00880CD3" w:rsidRDefault="00CB7C89" w:rsidP="00F441C1">
            <w:pPr>
              <w:spacing w:line="360" w:lineRule="auto"/>
              <w:rPr>
                <w:szCs w:val="21"/>
              </w:rPr>
            </w:pPr>
            <w:r w:rsidRPr="00F441C1">
              <w:rPr>
                <w:i/>
                <w:iCs/>
                <w:szCs w:val="21"/>
              </w:rPr>
              <w:t>Understanding the Logic and Controversies of IFRS</w:t>
            </w:r>
            <w:r w:rsidRPr="00F441C1">
              <w:rPr>
                <w:szCs w:val="21"/>
              </w:rPr>
              <w:t xml:space="preserve"> </w:t>
            </w:r>
          </w:p>
          <w:p w14:paraId="59297CA0" w14:textId="2D14534A" w:rsidR="00CB7C89" w:rsidRPr="00F441C1" w:rsidRDefault="00CB7C89" w:rsidP="00F441C1">
            <w:pPr>
              <w:spacing w:line="360" w:lineRule="auto"/>
              <w:rPr>
                <w:szCs w:val="21"/>
              </w:rPr>
            </w:pPr>
            <w:r w:rsidRPr="00F441C1">
              <w:rPr>
                <w:szCs w:val="21"/>
              </w:rPr>
              <w:t>Each group discusses one major IFRS controversy and prepares a short presentation.</w:t>
            </w:r>
          </w:p>
        </w:tc>
      </w:tr>
      <w:tr w:rsidR="00CB7C89" w:rsidRPr="00F441C1" w14:paraId="4A804F7D" w14:textId="77777777" w:rsidTr="00CB7C8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12DA863" w14:textId="77777777" w:rsidR="00CB7C89" w:rsidRPr="00F441C1" w:rsidRDefault="00CB7C89" w:rsidP="00F441C1">
            <w:pPr>
              <w:spacing w:line="360" w:lineRule="auto"/>
              <w:rPr>
                <w:szCs w:val="21"/>
              </w:rPr>
            </w:pPr>
            <w:r w:rsidRPr="00F441C1">
              <w:rPr>
                <w:szCs w:val="21"/>
              </w:rPr>
              <w:t>Session 2</w:t>
            </w:r>
          </w:p>
        </w:tc>
        <w:tc>
          <w:tcPr>
            <w:tcW w:w="3834" w:type="dxa"/>
            <w:tcBorders>
              <w:top w:val="single" w:sz="4" w:space="0" w:color="auto"/>
              <w:left w:val="single" w:sz="4" w:space="0" w:color="auto"/>
              <w:bottom w:val="single" w:sz="4" w:space="0" w:color="auto"/>
              <w:right w:val="single" w:sz="4" w:space="0" w:color="auto"/>
            </w:tcBorders>
            <w:vAlign w:val="center"/>
            <w:hideMark/>
          </w:tcPr>
          <w:p w14:paraId="3288BB8C" w14:textId="77777777" w:rsidR="005136DA" w:rsidRDefault="00CB7C89" w:rsidP="00F441C1">
            <w:pPr>
              <w:spacing w:line="360" w:lineRule="auto"/>
              <w:rPr>
                <w:szCs w:val="21"/>
              </w:rPr>
            </w:pPr>
            <w:r w:rsidRPr="00F441C1">
              <w:rPr>
                <w:szCs w:val="21"/>
              </w:rPr>
              <w:t xml:space="preserve">International Accounting Research and Research Relevance </w:t>
            </w:r>
          </w:p>
          <w:p w14:paraId="74F01EEA" w14:textId="77777777" w:rsidR="005136DA" w:rsidRDefault="00CB7C89" w:rsidP="00F441C1">
            <w:pPr>
              <w:spacing w:line="360" w:lineRule="auto"/>
              <w:rPr>
                <w:szCs w:val="21"/>
              </w:rPr>
            </w:pPr>
            <w:r w:rsidRPr="00F441C1">
              <w:rPr>
                <w:szCs w:val="21"/>
              </w:rPr>
              <w:t xml:space="preserve">• Why accounting research matters </w:t>
            </w:r>
          </w:p>
          <w:p w14:paraId="7A0D38B6" w14:textId="77777777" w:rsidR="005136DA" w:rsidRDefault="00CB7C89" w:rsidP="00F441C1">
            <w:pPr>
              <w:spacing w:line="360" w:lineRule="auto"/>
              <w:rPr>
                <w:szCs w:val="21"/>
              </w:rPr>
            </w:pPr>
            <w:r w:rsidRPr="00F441C1">
              <w:rPr>
                <w:szCs w:val="21"/>
              </w:rPr>
              <w:t xml:space="preserve">• International accounting research </w:t>
            </w:r>
          </w:p>
          <w:p w14:paraId="42350657" w14:textId="7881263C" w:rsidR="005136DA" w:rsidRDefault="00CB7C89" w:rsidP="00F441C1">
            <w:pPr>
              <w:spacing w:line="360" w:lineRule="auto"/>
              <w:rPr>
                <w:szCs w:val="21"/>
              </w:rPr>
            </w:pPr>
            <w:r w:rsidRPr="00F441C1">
              <w:rPr>
                <w:szCs w:val="21"/>
              </w:rPr>
              <w:t xml:space="preserve">• </w:t>
            </w:r>
            <w:r w:rsidR="00E05A69">
              <w:rPr>
                <w:rFonts w:hint="eastAsia"/>
                <w:szCs w:val="21"/>
              </w:rPr>
              <w:t xml:space="preserve">Archival Empirical Research </w:t>
            </w:r>
            <w:r w:rsidRPr="00F441C1">
              <w:rPr>
                <w:szCs w:val="21"/>
              </w:rPr>
              <w:t xml:space="preserve">debate </w:t>
            </w:r>
          </w:p>
          <w:p w14:paraId="1CF1E271" w14:textId="77777777" w:rsidR="005136DA" w:rsidRDefault="00CB7C89" w:rsidP="00F441C1">
            <w:pPr>
              <w:spacing w:line="360" w:lineRule="auto"/>
              <w:rPr>
                <w:szCs w:val="21"/>
              </w:rPr>
            </w:pPr>
            <w:r w:rsidRPr="00F441C1">
              <w:rPr>
                <w:szCs w:val="21"/>
              </w:rPr>
              <w:t xml:space="preserve">• Positivism vs. interpretivism </w:t>
            </w:r>
          </w:p>
          <w:p w14:paraId="3FA19915" w14:textId="6486A842" w:rsidR="00CB7C89" w:rsidRPr="00F441C1" w:rsidRDefault="00CB7C89" w:rsidP="00F441C1">
            <w:pPr>
              <w:spacing w:line="360" w:lineRule="auto"/>
              <w:rPr>
                <w:szCs w:val="21"/>
              </w:rPr>
            </w:pPr>
            <w:r w:rsidRPr="00F441C1">
              <w:rPr>
                <w:szCs w:val="21"/>
              </w:rPr>
              <w:t>• Evidence-based standard setting</w:t>
            </w:r>
          </w:p>
        </w:tc>
        <w:tc>
          <w:tcPr>
            <w:tcW w:w="3578" w:type="dxa"/>
            <w:tcBorders>
              <w:top w:val="single" w:sz="4" w:space="0" w:color="auto"/>
              <w:left w:val="single" w:sz="4" w:space="0" w:color="auto"/>
              <w:bottom w:val="single" w:sz="4" w:space="0" w:color="auto"/>
              <w:right w:val="single" w:sz="4" w:space="0" w:color="auto"/>
            </w:tcBorders>
            <w:vAlign w:val="center"/>
            <w:hideMark/>
          </w:tcPr>
          <w:p w14:paraId="357AA088" w14:textId="795E2566" w:rsidR="00CB7C89" w:rsidRPr="00F441C1" w:rsidRDefault="00E05A69" w:rsidP="00F441C1">
            <w:pPr>
              <w:spacing w:line="360" w:lineRule="auto"/>
              <w:rPr>
                <w:szCs w:val="21"/>
              </w:rPr>
            </w:pPr>
            <w:r>
              <w:rPr>
                <w:rFonts w:hint="eastAsia"/>
                <w:szCs w:val="21"/>
              </w:rPr>
              <w:t>Assign Group Presentation 2</w:t>
            </w:r>
          </w:p>
        </w:tc>
      </w:tr>
      <w:tr w:rsidR="00CB7C89" w:rsidRPr="00F441C1" w14:paraId="39AB23DF" w14:textId="77777777" w:rsidTr="00CB7C8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7765297" w14:textId="77777777" w:rsidR="00CB7C89" w:rsidRPr="00F441C1" w:rsidRDefault="00CB7C89" w:rsidP="00F441C1">
            <w:pPr>
              <w:spacing w:line="360" w:lineRule="auto"/>
              <w:rPr>
                <w:szCs w:val="21"/>
              </w:rPr>
            </w:pPr>
            <w:r w:rsidRPr="00F441C1">
              <w:rPr>
                <w:szCs w:val="21"/>
              </w:rPr>
              <w:t>Session 3</w:t>
            </w:r>
          </w:p>
        </w:tc>
        <w:tc>
          <w:tcPr>
            <w:tcW w:w="3834" w:type="dxa"/>
            <w:tcBorders>
              <w:top w:val="single" w:sz="4" w:space="0" w:color="auto"/>
              <w:left w:val="single" w:sz="4" w:space="0" w:color="auto"/>
              <w:bottom w:val="single" w:sz="4" w:space="0" w:color="auto"/>
              <w:right w:val="single" w:sz="4" w:space="0" w:color="auto"/>
            </w:tcBorders>
            <w:vAlign w:val="center"/>
            <w:hideMark/>
          </w:tcPr>
          <w:p w14:paraId="25A19169" w14:textId="4F696309" w:rsidR="00DE73EC" w:rsidRDefault="00CB7C89" w:rsidP="00DE73EC">
            <w:pPr>
              <w:spacing w:line="360" w:lineRule="auto"/>
              <w:jc w:val="left"/>
              <w:rPr>
                <w:szCs w:val="21"/>
              </w:rPr>
            </w:pPr>
            <w:r w:rsidRPr="00F441C1">
              <w:rPr>
                <w:szCs w:val="21"/>
              </w:rPr>
              <w:t xml:space="preserve">The IFRS Conceptual Framework, </w:t>
            </w:r>
          </w:p>
          <w:p w14:paraId="7ABF4D5D" w14:textId="77777777" w:rsidR="00646185" w:rsidRDefault="00CB7C89" w:rsidP="00F441C1">
            <w:pPr>
              <w:spacing w:line="360" w:lineRule="auto"/>
              <w:rPr>
                <w:szCs w:val="21"/>
              </w:rPr>
            </w:pPr>
            <w:r w:rsidRPr="00F441C1">
              <w:rPr>
                <w:szCs w:val="21"/>
              </w:rPr>
              <w:t xml:space="preserve">• Decision usefulness </w:t>
            </w:r>
            <w:r w:rsidR="00DE73EC">
              <w:rPr>
                <w:rFonts w:hint="eastAsia"/>
                <w:szCs w:val="21"/>
              </w:rPr>
              <w:t xml:space="preserve">vs. </w:t>
            </w:r>
            <w:r w:rsidR="00DE73EC">
              <w:rPr>
                <w:szCs w:val="21"/>
              </w:rPr>
              <w:t>Stewardship</w:t>
            </w:r>
          </w:p>
          <w:p w14:paraId="7C42180D" w14:textId="77777777" w:rsidR="00646185" w:rsidRDefault="00CB7C89" w:rsidP="00F441C1">
            <w:pPr>
              <w:spacing w:line="360" w:lineRule="auto"/>
              <w:rPr>
                <w:szCs w:val="21"/>
              </w:rPr>
            </w:pPr>
            <w:r w:rsidRPr="00F441C1">
              <w:rPr>
                <w:szCs w:val="21"/>
              </w:rPr>
              <w:t xml:space="preserve">• Transparency vs. compliance </w:t>
            </w:r>
          </w:p>
          <w:p w14:paraId="1846C039" w14:textId="77777777" w:rsidR="00646185" w:rsidRDefault="00CB7C89" w:rsidP="00F441C1">
            <w:pPr>
              <w:spacing w:line="360" w:lineRule="auto"/>
              <w:rPr>
                <w:szCs w:val="21"/>
              </w:rPr>
            </w:pPr>
            <w:r w:rsidRPr="00F441C1">
              <w:rPr>
                <w:szCs w:val="21"/>
              </w:rPr>
              <w:t xml:space="preserve">• Fair value controversies </w:t>
            </w:r>
          </w:p>
          <w:p w14:paraId="514B3F13" w14:textId="6AF37119" w:rsidR="00CB7C89" w:rsidRPr="00F441C1" w:rsidRDefault="00CB7C89" w:rsidP="00F441C1">
            <w:pPr>
              <w:spacing w:line="360" w:lineRule="auto"/>
              <w:rPr>
                <w:szCs w:val="21"/>
              </w:rPr>
            </w:pPr>
            <w:r w:rsidRPr="00F441C1">
              <w:rPr>
                <w:szCs w:val="21"/>
              </w:rPr>
              <w:t>• IFRS convergence in China</w:t>
            </w:r>
          </w:p>
        </w:tc>
        <w:tc>
          <w:tcPr>
            <w:tcW w:w="3578" w:type="dxa"/>
            <w:tcBorders>
              <w:top w:val="single" w:sz="4" w:space="0" w:color="auto"/>
              <w:left w:val="single" w:sz="4" w:space="0" w:color="auto"/>
              <w:bottom w:val="single" w:sz="4" w:space="0" w:color="auto"/>
              <w:right w:val="single" w:sz="4" w:space="0" w:color="auto"/>
            </w:tcBorders>
            <w:vAlign w:val="center"/>
            <w:hideMark/>
          </w:tcPr>
          <w:p w14:paraId="34E1A450" w14:textId="77777777" w:rsidR="00646185" w:rsidRPr="00F37DC4" w:rsidRDefault="00CB7C89" w:rsidP="00F441C1">
            <w:pPr>
              <w:spacing w:line="360" w:lineRule="auto"/>
              <w:rPr>
                <w:b/>
                <w:bCs/>
                <w:szCs w:val="21"/>
              </w:rPr>
            </w:pPr>
            <w:r w:rsidRPr="00F37DC4">
              <w:rPr>
                <w:b/>
                <w:bCs/>
                <w:szCs w:val="21"/>
              </w:rPr>
              <w:t xml:space="preserve">In-Class Debate </w:t>
            </w:r>
          </w:p>
          <w:p w14:paraId="4EBF9C09" w14:textId="2770FE89" w:rsidR="00CB7C89" w:rsidRPr="00F441C1" w:rsidRDefault="00CB7C89" w:rsidP="00F441C1">
            <w:pPr>
              <w:spacing w:line="360" w:lineRule="auto"/>
              <w:rPr>
                <w:szCs w:val="21"/>
              </w:rPr>
            </w:pPr>
            <w:r w:rsidRPr="00F441C1">
              <w:rPr>
                <w:i/>
                <w:iCs/>
                <w:szCs w:val="21"/>
              </w:rPr>
              <w:t>Has China Truly Converged with IFRS?</w:t>
            </w:r>
            <w:r w:rsidRPr="00F441C1">
              <w:rPr>
                <w:szCs w:val="21"/>
              </w:rPr>
              <w:t xml:space="preserve"> </w:t>
            </w:r>
            <w:r w:rsidRPr="00F441C1">
              <w:rPr>
                <w:szCs w:val="21"/>
              </w:rPr>
              <w:br/>
              <w:t>Debate on transparency, compliance, fair value, and convergence versus adaptation.</w:t>
            </w:r>
          </w:p>
        </w:tc>
      </w:tr>
      <w:tr w:rsidR="00CB7C89" w:rsidRPr="00F441C1" w14:paraId="4B483F6C" w14:textId="77777777" w:rsidTr="00CB7C8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58BE957" w14:textId="77777777" w:rsidR="00CB7C89" w:rsidRPr="00F441C1" w:rsidRDefault="00CB7C89" w:rsidP="00F441C1">
            <w:pPr>
              <w:spacing w:line="360" w:lineRule="auto"/>
              <w:rPr>
                <w:szCs w:val="21"/>
              </w:rPr>
            </w:pPr>
            <w:r w:rsidRPr="00F441C1">
              <w:rPr>
                <w:szCs w:val="21"/>
              </w:rPr>
              <w:t>Session 4</w:t>
            </w:r>
          </w:p>
        </w:tc>
        <w:tc>
          <w:tcPr>
            <w:tcW w:w="3834" w:type="dxa"/>
            <w:tcBorders>
              <w:top w:val="single" w:sz="4" w:space="0" w:color="auto"/>
              <w:left w:val="single" w:sz="4" w:space="0" w:color="auto"/>
              <w:bottom w:val="single" w:sz="4" w:space="0" w:color="auto"/>
              <w:right w:val="single" w:sz="4" w:space="0" w:color="auto"/>
            </w:tcBorders>
            <w:vAlign w:val="center"/>
            <w:hideMark/>
          </w:tcPr>
          <w:p w14:paraId="6223A06B" w14:textId="77777777" w:rsidR="0011536C" w:rsidRDefault="00CB7C89" w:rsidP="00F441C1">
            <w:pPr>
              <w:spacing w:line="360" w:lineRule="auto"/>
              <w:rPr>
                <w:szCs w:val="21"/>
              </w:rPr>
            </w:pPr>
            <w:r w:rsidRPr="00F441C1">
              <w:rPr>
                <w:szCs w:val="21"/>
              </w:rPr>
              <w:t xml:space="preserve">Applying the Conceptual Framework in Standard Setting </w:t>
            </w:r>
          </w:p>
          <w:p w14:paraId="081BF741" w14:textId="77777777" w:rsidR="0011536C" w:rsidRDefault="00CB7C89" w:rsidP="00F441C1">
            <w:pPr>
              <w:spacing w:line="360" w:lineRule="auto"/>
              <w:rPr>
                <w:szCs w:val="21"/>
              </w:rPr>
            </w:pPr>
            <w:r w:rsidRPr="00F441C1">
              <w:rPr>
                <w:szCs w:val="21"/>
              </w:rPr>
              <w:t xml:space="preserve">• Elements, recognition, and measurement </w:t>
            </w:r>
          </w:p>
          <w:p w14:paraId="6955C390" w14:textId="1677AC5C" w:rsidR="0011536C" w:rsidRDefault="00CB7C89" w:rsidP="00F441C1">
            <w:pPr>
              <w:spacing w:line="360" w:lineRule="auto"/>
              <w:rPr>
                <w:szCs w:val="21"/>
              </w:rPr>
            </w:pPr>
            <w:r w:rsidRPr="00F441C1">
              <w:rPr>
                <w:szCs w:val="21"/>
              </w:rPr>
              <w:t xml:space="preserve">• Presentation and disclosure </w:t>
            </w:r>
          </w:p>
          <w:p w14:paraId="18229796" w14:textId="7C30706B" w:rsidR="00CD6544" w:rsidRDefault="00CB7C89" w:rsidP="00F441C1">
            <w:pPr>
              <w:spacing w:line="360" w:lineRule="auto"/>
              <w:rPr>
                <w:szCs w:val="21"/>
              </w:rPr>
            </w:pPr>
            <w:r w:rsidRPr="00F441C1">
              <w:rPr>
                <w:szCs w:val="21"/>
              </w:rPr>
              <w:t xml:space="preserve">• Business combinations under common control (BCUCC) </w:t>
            </w:r>
          </w:p>
          <w:p w14:paraId="1383ABD0" w14:textId="56E13106" w:rsidR="00CB7C89" w:rsidRPr="00F441C1" w:rsidRDefault="00CB7C89" w:rsidP="00F441C1">
            <w:pPr>
              <w:spacing w:line="360" w:lineRule="auto"/>
              <w:rPr>
                <w:szCs w:val="21"/>
              </w:rPr>
            </w:pPr>
            <w:r w:rsidRPr="00F441C1">
              <w:rPr>
                <w:szCs w:val="21"/>
              </w:rPr>
              <w:t>• Stakeholder conflicts in standard setting</w:t>
            </w:r>
          </w:p>
        </w:tc>
        <w:tc>
          <w:tcPr>
            <w:tcW w:w="3578" w:type="dxa"/>
            <w:tcBorders>
              <w:top w:val="single" w:sz="4" w:space="0" w:color="auto"/>
              <w:left w:val="single" w:sz="4" w:space="0" w:color="auto"/>
              <w:bottom w:val="single" w:sz="4" w:space="0" w:color="auto"/>
              <w:right w:val="single" w:sz="4" w:space="0" w:color="auto"/>
            </w:tcBorders>
            <w:vAlign w:val="center"/>
            <w:hideMark/>
          </w:tcPr>
          <w:p w14:paraId="5E55D8F8" w14:textId="1E718BBF" w:rsidR="00047806" w:rsidRDefault="00146B4D" w:rsidP="00F441C1">
            <w:pPr>
              <w:spacing w:line="360" w:lineRule="auto"/>
              <w:rPr>
                <w:szCs w:val="21"/>
              </w:rPr>
            </w:pPr>
            <w:r w:rsidRPr="00F37DC4">
              <w:rPr>
                <w:rFonts w:hint="eastAsia"/>
                <w:b/>
                <w:bCs/>
                <w:szCs w:val="21"/>
              </w:rPr>
              <w:t>Case Analysis</w:t>
            </w:r>
            <w:r>
              <w:rPr>
                <w:rFonts w:hint="eastAsia"/>
                <w:szCs w:val="21"/>
              </w:rPr>
              <w:t xml:space="preserve">: </w:t>
            </w:r>
            <w:r w:rsidRPr="00AC18CC">
              <w:rPr>
                <w:rFonts w:hint="eastAsia"/>
                <w:i/>
                <w:iCs/>
                <w:szCs w:val="21"/>
              </w:rPr>
              <w:t>Amalgam</w:t>
            </w:r>
          </w:p>
          <w:p w14:paraId="3D63121F" w14:textId="0EC83C9C" w:rsidR="00CB7C89" w:rsidRPr="00F441C1" w:rsidRDefault="00CB7C89" w:rsidP="00F441C1">
            <w:pPr>
              <w:spacing w:line="360" w:lineRule="auto"/>
              <w:rPr>
                <w:szCs w:val="21"/>
              </w:rPr>
            </w:pPr>
          </w:p>
        </w:tc>
      </w:tr>
      <w:tr w:rsidR="00CB7C89" w:rsidRPr="00F441C1" w14:paraId="22DD219F" w14:textId="77777777" w:rsidTr="00CB7C8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DB5F823" w14:textId="77777777" w:rsidR="00CB7C89" w:rsidRPr="00F441C1" w:rsidRDefault="00CB7C89" w:rsidP="00F441C1">
            <w:pPr>
              <w:spacing w:line="360" w:lineRule="auto"/>
              <w:rPr>
                <w:szCs w:val="21"/>
              </w:rPr>
            </w:pPr>
            <w:r w:rsidRPr="00F441C1">
              <w:rPr>
                <w:szCs w:val="21"/>
              </w:rPr>
              <w:t xml:space="preserve">Session </w:t>
            </w:r>
            <w:r w:rsidRPr="00F441C1">
              <w:rPr>
                <w:szCs w:val="21"/>
              </w:rPr>
              <w:lastRenderedPageBreak/>
              <w:t>5</w:t>
            </w:r>
          </w:p>
        </w:tc>
        <w:tc>
          <w:tcPr>
            <w:tcW w:w="3834" w:type="dxa"/>
            <w:tcBorders>
              <w:top w:val="single" w:sz="4" w:space="0" w:color="auto"/>
              <w:left w:val="single" w:sz="4" w:space="0" w:color="auto"/>
              <w:bottom w:val="single" w:sz="4" w:space="0" w:color="auto"/>
              <w:right w:val="single" w:sz="4" w:space="0" w:color="auto"/>
            </w:tcBorders>
            <w:vAlign w:val="center"/>
            <w:hideMark/>
          </w:tcPr>
          <w:p w14:paraId="7B6FB34A" w14:textId="77777777" w:rsidR="00CD6544" w:rsidRDefault="00CB7C89" w:rsidP="00F441C1">
            <w:pPr>
              <w:spacing w:line="360" w:lineRule="auto"/>
              <w:rPr>
                <w:szCs w:val="21"/>
              </w:rPr>
            </w:pPr>
            <w:r w:rsidRPr="00F441C1">
              <w:rPr>
                <w:szCs w:val="21"/>
              </w:rPr>
              <w:lastRenderedPageBreak/>
              <w:t xml:space="preserve">Research Relevance, Policy Knowledge, and </w:t>
            </w:r>
            <w:r w:rsidRPr="00F441C1">
              <w:rPr>
                <w:szCs w:val="21"/>
              </w:rPr>
              <w:lastRenderedPageBreak/>
              <w:t xml:space="preserve">Future Standard Setting </w:t>
            </w:r>
          </w:p>
          <w:p w14:paraId="3AC3B6BE" w14:textId="77777777" w:rsidR="00CD6544" w:rsidRDefault="00CB7C89" w:rsidP="00F441C1">
            <w:pPr>
              <w:spacing w:line="360" w:lineRule="auto"/>
              <w:rPr>
                <w:szCs w:val="21"/>
              </w:rPr>
            </w:pPr>
            <w:r w:rsidRPr="00F441C1">
              <w:rPr>
                <w:szCs w:val="21"/>
              </w:rPr>
              <w:t xml:space="preserve">• Evidence-based standard setting </w:t>
            </w:r>
          </w:p>
          <w:p w14:paraId="073BDA73" w14:textId="77777777" w:rsidR="00CD6544" w:rsidRDefault="00CB7C89" w:rsidP="00F441C1">
            <w:pPr>
              <w:spacing w:line="360" w:lineRule="auto"/>
              <w:rPr>
                <w:szCs w:val="21"/>
              </w:rPr>
            </w:pPr>
            <w:r w:rsidRPr="00F441C1">
              <w:rPr>
                <w:szCs w:val="21"/>
              </w:rPr>
              <w:t xml:space="preserve">• Research usefulness and limitations </w:t>
            </w:r>
          </w:p>
          <w:p w14:paraId="0F442EAD" w14:textId="77777777" w:rsidR="00CD6544" w:rsidRDefault="00CB7C89" w:rsidP="00CD6544">
            <w:pPr>
              <w:spacing w:line="360" w:lineRule="auto"/>
              <w:rPr>
                <w:szCs w:val="21"/>
              </w:rPr>
            </w:pPr>
            <w:r w:rsidRPr="00F441C1">
              <w:rPr>
                <w:szCs w:val="21"/>
              </w:rPr>
              <w:t xml:space="preserve">• Goodwill accounting controversies </w:t>
            </w:r>
          </w:p>
          <w:p w14:paraId="38FD31C1" w14:textId="4F767A71" w:rsidR="00CB7C89" w:rsidRPr="00F441C1" w:rsidRDefault="00CB7C89" w:rsidP="00CD6544">
            <w:pPr>
              <w:spacing w:line="360" w:lineRule="auto"/>
              <w:rPr>
                <w:szCs w:val="21"/>
              </w:rPr>
            </w:pPr>
            <w:r w:rsidRPr="00F441C1">
              <w:rPr>
                <w:szCs w:val="21"/>
              </w:rPr>
              <w:t>• Intangible assets and unresolved accounting questions</w:t>
            </w:r>
          </w:p>
        </w:tc>
        <w:tc>
          <w:tcPr>
            <w:tcW w:w="3578" w:type="dxa"/>
            <w:tcBorders>
              <w:top w:val="single" w:sz="4" w:space="0" w:color="auto"/>
              <w:left w:val="single" w:sz="4" w:space="0" w:color="auto"/>
              <w:bottom w:val="single" w:sz="4" w:space="0" w:color="auto"/>
              <w:right w:val="single" w:sz="4" w:space="0" w:color="auto"/>
            </w:tcBorders>
            <w:vAlign w:val="center"/>
            <w:hideMark/>
          </w:tcPr>
          <w:p w14:paraId="646A8730" w14:textId="77777777" w:rsidR="00CB7C89" w:rsidRPr="00F441C1" w:rsidRDefault="00CB7C89" w:rsidP="00F441C1">
            <w:pPr>
              <w:spacing w:line="360" w:lineRule="auto"/>
              <w:rPr>
                <w:szCs w:val="21"/>
              </w:rPr>
            </w:pPr>
            <w:r w:rsidRPr="00F441C1">
              <w:rPr>
                <w:szCs w:val="21"/>
              </w:rPr>
              <w:lastRenderedPageBreak/>
              <w:t xml:space="preserve">Group Presentation 2 </w:t>
            </w:r>
            <w:r w:rsidRPr="00F441C1">
              <w:rPr>
                <w:szCs w:val="21"/>
              </w:rPr>
              <w:br/>
            </w:r>
            <w:r w:rsidRPr="00F441C1">
              <w:rPr>
                <w:i/>
                <w:iCs/>
                <w:szCs w:val="21"/>
              </w:rPr>
              <w:lastRenderedPageBreak/>
              <w:t>Academic Research and Evidence-Based Standard Setting</w:t>
            </w:r>
            <w:r w:rsidRPr="00F441C1">
              <w:rPr>
                <w:szCs w:val="21"/>
              </w:rPr>
              <w:t xml:space="preserve"> </w:t>
            </w:r>
            <w:r w:rsidRPr="00F441C1">
              <w:rPr>
                <w:szCs w:val="21"/>
              </w:rPr>
              <w:br/>
              <w:t>Each group analyzes one IFRS Foundation literature review and evaluates how academic research contributes to standard-setting debates.</w:t>
            </w:r>
          </w:p>
        </w:tc>
      </w:tr>
      <w:tr w:rsidR="00CB7C89" w:rsidRPr="00F358E9" w14:paraId="7F6A7A7E" w14:textId="77777777" w:rsidTr="00F358E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85F8A89" w14:textId="77777777" w:rsidR="00CB7C89" w:rsidRPr="00F358E9" w:rsidRDefault="00CB7C89" w:rsidP="00F441C1">
            <w:pPr>
              <w:spacing w:line="360" w:lineRule="auto"/>
              <w:rPr>
                <w:sz w:val="22"/>
                <w:szCs w:val="22"/>
              </w:rPr>
            </w:pPr>
            <w:r w:rsidRPr="00F358E9">
              <w:rPr>
                <w:sz w:val="22"/>
                <w:szCs w:val="22"/>
              </w:rPr>
              <w:lastRenderedPageBreak/>
              <w:t>Session 6</w:t>
            </w:r>
          </w:p>
        </w:tc>
        <w:tc>
          <w:tcPr>
            <w:tcW w:w="3834" w:type="dxa"/>
            <w:tcBorders>
              <w:top w:val="single" w:sz="4" w:space="0" w:color="auto"/>
              <w:left w:val="single" w:sz="4" w:space="0" w:color="auto"/>
              <w:bottom w:val="single" w:sz="4" w:space="0" w:color="auto"/>
              <w:right w:val="single" w:sz="4" w:space="0" w:color="auto"/>
            </w:tcBorders>
            <w:vAlign w:val="center"/>
            <w:hideMark/>
          </w:tcPr>
          <w:p w14:paraId="7962E3E7" w14:textId="77777777" w:rsidR="00AC18CC" w:rsidRDefault="00CB7C89" w:rsidP="00F441C1">
            <w:pPr>
              <w:spacing w:line="360" w:lineRule="auto"/>
              <w:rPr>
                <w:sz w:val="22"/>
                <w:szCs w:val="22"/>
              </w:rPr>
            </w:pPr>
            <w:r w:rsidRPr="00F358E9">
              <w:rPr>
                <w:sz w:val="22"/>
                <w:szCs w:val="22"/>
              </w:rPr>
              <w:t xml:space="preserve">AI, Data Assets, and the Future of Accounting Standard Setting </w:t>
            </w:r>
          </w:p>
          <w:p w14:paraId="351B5B11" w14:textId="77777777" w:rsidR="00AC18CC" w:rsidRDefault="00CB7C89" w:rsidP="00F441C1">
            <w:pPr>
              <w:spacing w:line="360" w:lineRule="auto"/>
              <w:rPr>
                <w:sz w:val="22"/>
                <w:szCs w:val="22"/>
              </w:rPr>
            </w:pPr>
            <w:r w:rsidRPr="00F358E9">
              <w:rPr>
                <w:sz w:val="22"/>
                <w:szCs w:val="22"/>
              </w:rPr>
              <w:t xml:space="preserve">• AI and global participation in standard setting </w:t>
            </w:r>
          </w:p>
          <w:p w14:paraId="24525EF8" w14:textId="3A0A3837" w:rsidR="00CB7C89" w:rsidRPr="00F358E9" w:rsidRDefault="00CB7C89" w:rsidP="00F441C1">
            <w:pPr>
              <w:spacing w:line="360" w:lineRule="auto"/>
              <w:rPr>
                <w:sz w:val="22"/>
                <w:szCs w:val="22"/>
              </w:rPr>
            </w:pPr>
            <w:r w:rsidRPr="00F358E9">
              <w:rPr>
                <w:sz w:val="22"/>
                <w:szCs w:val="22"/>
              </w:rPr>
              <w:t xml:space="preserve">• Data assets and IAS 38 </w:t>
            </w:r>
          </w:p>
        </w:tc>
        <w:tc>
          <w:tcPr>
            <w:tcW w:w="3578" w:type="dxa"/>
            <w:tcBorders>
              <w:top w:val="single" w:sz="4" w:space="0" w:color="auto"/>
              <w:left w:val="single" w:sz="4" w:space="0" w:color="auto"/>
              <w:bottom w:val="single" w:sz="4" w:space="0" w:color="auto"/>
              <w:right w:val="single" w:sz="4" w:space="0" w:color="auto"/>
            </w:tcBorders>
            <w:vAlign w:val="center"/>
            <w:hideMark/>
          </w:tcPr>
          <w:p w14:paraId="57481302" w14:textId="77777777" w:rsidR="00AC18CC" w:rsidRPr="00F37DC4" w:rsidRDefault="00CB7C89" w:rsidP="00F441C1">
            <w:pPr>
              <w:spacing w:line="360" w:lineRule="auto"/>
              <w:rPr>
                <w:b/>
                <w:bCs/>
                <w:sz w:val="22"/>
                <w:szCs w:val="22"/>
              </w:rPr>
            </w:pPr>
            <w:r w:rsidRPr="00F37DC4">
              <w:rPr>
                <w:b/>
                <w:bCs/>
                <w:sz w:val="22"/>
                <w:szCs w:val="22"/>
              </w:rPr>
              <w:t xml:space="preserve">Final Group Project Presentation </w:t>
            </w:r>
          </w:p>
          <w:p w14:paraId="3F95B289" w14:textId="29F92D35" w:rsidR="00AC18CC" w:rsidRPr="00AC18CC" w:rsidRDefault="00CB7C89" w:rsidP="00F441C1">
            <w:pPr>
              <w:spacing w:line="360" w:lineRule="auto"/>
              <w:rPr>
                <w:i/>
                <w:iCs/>
                <w:sz w:val="22"/>
                <w:szCs w:val="22"/>
              </w:rPr>
            </w:pPr>
            <w:r w:rsidRPr="00AC18CC">
              <w:rPr>
                <w:i/>
                <w:iCs/>
                <w:sz w:val="22"/>
                <w:szCs w:val="22"/>
              </w:rPr>
              <w:t xml:space="preserve">Option A: AI and global participation in IASB consultations </w:t>
            </w:r>
          </w:p>
          <w:p w14:paraId="07122896" w14:textId="7F6ACF0A" w:rsidR="00CB7C89" w:rsidRPr="00F358E9" w:rsidRDefault="00CB7C89" w:rsidP="00F441C1">
            <w:pPr>
              <w:spacing w:line="360" w:lineRule="auto"/>
              <w:rPr>
                <w:sz w:val="22"/>
                <w:szCs w:val="22"/>
              </w:rPr>
            </w:pPr>
            <w:r w:rsidRPr="00AC18CC">
              <w:rPr>
                <w:i/>
                <w:iCs/>
                <w:sz w:val="22"/>
                <w:szCs w:val="22"/>
              </w:rPr>
              <w:t>Option B: Data assets and future intangible asset reporting</w:t>
            </w:r>
          </w:p>
        </w:tc>
      </w:tr>
    </w:tbl>
    <w:p w14:paraId="71452DB6" w14:textId="77777777" w:rsidR="00D14EBD" w:rsidRPr="00F441C1" w:rsidRDefault="00D14EBD" w:rsidP="00A900C1">
      <w:pPr>
        <w:spacing w:line="360" w:lineRule="auto"/>
        <w:rPr>
          <w:b/>
          <w:sz w:val="22"/>
          <w:szCs w:val="22"/>
        </w:rPr>
      </w:pPr>
    </w:p>
    <w:p w14:paraId="73BB8D10" w14:textId="034ADBDC" w:rsidR="00A900C1" w:rsidRPr="00303AD4" w:rsidRDefault="00A900C1" w:rsidP="00A900C1">
      <w:pPr>
        <w:spacing w:line="360" w:lineRule="auto"/>
        <w:rPr>
          <w:b/>
          <w:sz w:val="22"/>
          <w:szCs w:val="22"/>
        </w:rPr>
      </w:pPr>
      <w:r w:rsidRPr="00303AD4">
        <w:rPr>
          <w:b/>
          <w:sz w:val="22"/>
          <w:szCs w:val="22"/>
        </w:rPr>
        <w:t>Evaluation (AACSB standards)</w:t>
      </w:r>
    </w:p>
    <w:tbl>
      <w:tblPr>
        <w:tblStyle w:val="aa"/>
        <w:tblW w:w="8349" w:type="dxa"/>
        <w:jc w:val="center"/>
        <w:tblLook w:val="04A0" w:firstRow="1" w:lastRow="0" w:firstColumn="1" w:lastColumn="0" w:noHBand="0" w:noVBand="1"/>
      </w:tblPr>
      <w:tblGrid>
        <w:gridCol w:w="1619"/>
        <w:gridCol w:w="846"/>
        <w:gridCol w:w="543"/>
        <w:gridCol w:w="506"/>
        <w:gridCol w:w="506"/>
        <w:gridCol w:w="469"/>
        <w:gridCol w:w="493"/>
        <w:gridCol w:w="481"/>
        <w:gridCol w:w="506"/>
        <w:gridCol w:w="518"/>
        <w:gridCol w:w="422"/>
        <w:gridCol w:w="708"/>
        <w:gridCol w:w="732"/>
      </w:tblGrid>
      <w:tr w:rsidR="00A900C1" w:rsidRPr="001207DF" w14:paraId="25831503" w14:textId="77777777" w:rsidTr="002470A3">
        <w:trPr>
          <w:jc w:val="center"/>
        </w:trPr>
        <w:tc>
          <w:tcPr>
            <w:tcW w:w="1619" w:type="dxa"/>
            <w:vMerge w:val="restart"/>
            <w:tcBorders>
              <w:top w:val="single" w:sz="18" w:space="0" w:color="auto"/>
              <w:left w:val="single" w:sz="18" w:space="0" w:color="auto"/>
              <w:bottom w:val="single" w:sz="12" w:space="0" w:color="auto"/>
              <w:right w:val="single" w:sz="4" w:space="0" w:color="auto"/>
            </w:tcBorders>
            <w:vAlign w:val="center"/>
            <w:hideMark/>
          </w:tcPr>
          <w:p w14:paraId="7D1F9738" w14:textId="77777777" w:rsidR="00A900C1" w:rsidRPr="001207DF" w:rsidRDefault="00A900C1" w:rsidP="00E50CCF">
            <w:pPr>
              <w:spacing w:line="360" w:lineRule="auto"/>
              <w:jc w:val="center"/>
              <w:rPr>
                <w:rFonts w:eastAsia="黑体" w:cs="Times New Roman"/>
                <w:sz w:val="22"/>
                <w:szCs w:val="22"/>
              </w:rPr>
            </w:pPr>
            <w:r w:rsidRPr="001207DF">
              <w:rPr>
                <w:rFonts w:eastAsia="黑体" w:cs="Times New Roman"/>
                <w:sz w:val="22"/>
                <w:szCs w:val="22"/>
              </w:rPr>
              <w:t>Evaluation</w:t>
            </w:r>
          </w:p>
        </w:tc>
        <w:tc>
          <w:tcPr>
            <w:tcW w:w="846" w:type="dxa"/>
            <w:vMerge w:val="restart"/>
            <w:tcBorders>
              <w:top w:val="single" w:sz="18" w:space="0" w:color="auto"/>
              <w:left w:val="single" w:sz="4" w:space="0" w:color="auto"/>
              <w:bottom w:val="single" w:sz="12" w:space="0" w:color="auto"/>
              <w:right w:val="single" w:sz="12" w:space="0" w:color="auto"/>
            </w:tcBorders>
            <w:vAlign w:val="center"/>
            <w:hideMark/>
          </w:tcPr>
          <w:p w14:paraId="3FF93BA6" w14:textId="77777777" w:rsidR="00A900C1" w:rsidRPr="001207DF" w:rsidRDefault="00A900C1" w:rsidP="00E50CCF">
            <w:pPr>
              <w:spacing w:line="360" w:lineRule="auto"/>
              <w:jc w:val="center"/>
              <w:rPr>
                <w:rFonts w:eastAsia="黑体" w:cs="Times New Roman"/>
                <w:sz w:val="22"/>
                <w:szCs w:val="22"/>
              </w:rPr>
            </w:pPr>
            <w:r w:rsidRPr="001207DF">
              <w:rPr>
                <w:rFonts w:eastAsia="黑体" w:cs="Times New Roman"/>
                <w:sz w:val="22"/>
                <w:szCs w:val="22"/>
              </w:rPr>
              <w:t>Weight</w:t>
            </w:r>
          </w:p>
        </w:tc>
        <w:tc>
          <w:tcPr>
            <w:tcW w:w="0" w:type="auto"/>
            <w:gridSpan w:val="3"/>
            <w:tcBorders>
              <w:top w:val="single" w:sz="18" w:space="0" w:color="auto"/>
              <w:left w:val="single" w:sz="12" w:space="0" w:color="auto"/>
              <w:bottom w:val="single" w:sz="4" w:space="0" w:color="auto"/>
              <w:right w:val="single" w:sz="4" w:space="0" w:color="auto"/>
            </w:tcBorders>
            <w:vAlign w:val="center"/>
            <w:hideMark/>
          </w:tcPr>
          <w:p w14:paraId="57723654" w14:textId="77777777" w:rsidR="00A900C1" w:rsidRPr="001207DF" w:rsidRDefault="00A900C1" w:rsidP="00E50CCF">
            <w:pPr>
              <w:jc w:val="center"/>
              <w:rPr>
                <w:rFonts w:eastAsia="黑体" w:cs="Times New Roman"/>
                <w:sz w:val="22"/>
                <w:szCs w:val="22"/>
              </w:rPr>
            </w:pPr>
            <w:r w:rsidRPr="001207DF">
              <w:rPr>
                <w:rFonts w:eastAsia="黑体" w:cs="Times New Roman"/>
                <w:sz w:val="22"/>
                <w:szCs w:val="22"/>
              </w:rPr>
              <w:t xml:space="preserve"> Knowledge</w:t>
            </w:r>
          </w:p>
        </w:tc>
        <w:tc>
          <w:tcPr>
            <w:tcW w:w="0" w:type="auto"/>
            <w:gridSpan w:val="5"/>
            <w:tcBorders>
              <w:top w:val="single" w:sz="18" w:space="0" w:color="auto"/>
              <w:left w:val="single" w:sz="4" w:space="0" w:color="auto"/>
              <w:bottom w:val="single" w:sz="4" w:space="0" w:color="auto"/>
              <w:right w:val="single" w:sz="4" w:space="0" w:color="auto"/>
            </w:tcBorders>
            <w:vAlign w:val="center"/>
            <w:hideMark/>
          </w:tcPr>
          <w:p w14:paraId="539B2B5A" w14:textId="77777777" w:rsidR="00A900C1" w:rsidRPr="001207DF" w:rsidRDefault="00A900C1" w:rsidP="00E50CCF">
            <w:pPr>
              <w:jc w:val="center"/>
              <w:rPr>
                <w:rFonts w:eastAsia="黑体" w:cs="Times New Roman"/>
                <w:sz w:val="22"/>
                <w:szCs w:val="22"/>
              </w:rPr>
            </w:pPr>
            <w:r w:rsidRPr="001207DF">
              <w:rPr>
                <w:rFonts w:eastAsia="黑体" w:cs="Times New Roman"/>
                <w:sz w:val="22"/>
                <w:szCs w:val="22"/>
              </w:rPr>
              <w:t xml:space="preserve"> Skills</w:t>
            </w:r>
          </w:p>
        </w:tc>
        <w:tc>
          <w:tcPr>
            <w:tcW w:w="1854" w:type="dxa"/>
            <w:gridSpan w:val="3"/>
            <w:tcBorders>
              <w:top w:val="single" w:sz="18" w:space="0" w:color="auto"/>
              <w:left w:val="single" w:sz="4" w:space="0" w:color="auto"/>
              <w:bottom w:val="single" w:sz="4" w:space="0" w:color="auto"/>
              <w:right w:val="single" w:sz="18" w:space="0" w:color="auto"/>
            </w:tcBorders>
            <w:vAlign w:val="center"/>
            <w:hideMark/>
          </w:tcPr>
          <w:p w14:paraId="02DAF8AF" w14:textId="77777777" w:rsidR="00A900C1" w:rsidRPr="001207DF" w:rsidRDefault="00A900C1" w:rsidP="00E50CCF">
            <w:pPr>
              <w:jc w:val="center"/>
              <w:rPr>
                <w:rFonts w:eastAsia="黑体" w:cs="Times New Roman"/>
                <w:sz w:val="22"/>
                <w:szCs w:val="22"/>
              </w:rPr>
            </w:pPr>
            <w:r w:rsidRPr="001207DF">
              <w:rPr>
                <w:rFonts w:eastAsia="黑体" w:cs="Times New Roman"/>
                <w:sz w:val="22"/>
                <w:szCs w:val="22"/>
              </w:rPr>
              <w:t xml:space="preserve"> Quality</w:t>
            </w:r>
          </w:p>
        </w:tc>
      </w:tr>
      <w:tr w:rsidR="00A900C1" w:rsidRPr="001207DF" w14:paraId="0AB81B65" w14:textId="77777777" w:rsidTr="002470A3">
        <w:trPr>
          <w:jc w:val="center"/>
        </w:trPr>
        <w:tc>
          <w:tcPr>
            <w:tcW w:w="1619" w:type="dxa"/>
            <w:vMerge/>
            <w:tcBorders>
              <w:top w:val="single" w:sz="12" w:space="0" w:color="auto"/>
              <w:left w:val="single" w:sz="18" w:space="0" w:color="auto"/>
              <w:bottom w:val="single" w:sz="12" w:space="0" w:color="auto"/>
              <w:right w:val="single" w:sz="4" w:space="0" w:color="auto"/>
            </w:tcBorders>
            <w:vAlign w:val="center"/>
            <w:hideMark/>
          </w:tcPr>
          <w:p w14:paraId="30C9D9DA" w14:textId="77777777" w:rsidR="00A900C1" w:rsidRPr="001207DF" w:rsidRDefault="00A900C1" w:rsidP="00E50CCF">
            <w:pPr>
              <w:widowControl/>
              <w:jc w:val="left"/>
              <w:rPr>
                <w:rFonts w:eastAsia="黑体" w:cs="Times New Roman"/>
                <w:sz w:val="22"/>
                <w:szCs w:val="22"/>
              </w:rPr>
            </w:pPr>
          </w:p>
        </w:tc>
        <w:tc>
          <w:tcPr>
            <w:tcW w:w="846" w:type="dxa"/>
            <w:vMerge/>
            <w:tcBorders>
              <w:top w:val="single" w:sz="12" w:space="0" w:color="auto"/>
              <w:left w:val="single" w:sz="4" w:space="0" w:color="auto"/>
              <w:bottom w:val="single" w:sz="12" w:space="0" w:color="auto"/>
              <w:right w:val="single" w:sz="12" w:space="0" w:color="auto"/>
            </w:tcBorders>
            <w:vAlign w:val="center"/>
            <w:hideMark/>
          </w:tcPr>
          <w:p w14:paraId="4AB74ECB" w14:textId="77777777" w:rsidR="00A900C1" w:rsidRPr="001207DF" w:rsidRDefault="00A900C1" w:rsidP="00E50CCF">
            <w:pPr>
              <w:widowControl/>
              <w:jc w:val="left"/>
              <w:rPr>
                <w:rFonts w:eastAsia="黑体" w:cs="Times New Roman"/>
                <w:sz w:val="22"/>
                <w:szCs w:val="22"/>
              </w:rPr>
            </w:pPr>
          </w:p>
        </w:tc>
        <w:tc>
          <w:tcPr>
            <w:tcW w:w="0" w:type="auto"/>
            <w:tcBorders>
              <w:top w:val="single" w:sz="4" w:space="0" w:color="auto"/>
              <w:left w:val="single" w:sz="12" w:space="0" w:color="auto"/>
              <w:bottom w:val="single" w:sz="12" w:space="0" w:color="auto"/>
              <w:right w:val="single" w:sz="4" w:space="0" w:color="auto"/>
            </w:tcBorders>
            <w:vAlign w:val="center"/>
            <w:hideMark/>
          </w:tcPr>
          <w:p w14:paraId="7556B056" w14:textId="77777777" w:rsidR="00A900C1" w:rsidRPr="001207DF" w:rsidRDefault="00A900C1" w:rsidP="00E50CCF">
            <w:pPr>
              <w:jc w:val="center"/>
              <w:rPr>
                <w:rFonts w:eastAsia="黑体" w:cs="Times New Roman"/>
                <w:sz w:val="22"/>
                <w:szCs w:val="22"/>
              </w:rPr>
            </w:pPr>
            <w:r w:rsidRPr="001207DF">
              <w:rPr>
                <w:rFonts w:eastAsia="黑体" w:cs="Times New Roman"/>
                <w:sz w:val="22"/>
                <w:szCs w:val="22"/>
              </w:rPr>
              <w:t>GK</w:t>
            </w:r>
          </w:p>
        </w:tc>
        <w:tc>
          <w:tcPr>
            <w:tcW w:w="0" w:type="auto"/>
            <w:tcBorders>
              <w:top w:val="single" w:sz="4" w:space="0" w:color="auto"/>
              <w:left w:val="single" w:sz="4" w:space="0" w:color="auto"/>
              <w:bottom w:val="single" w:sz="12" w:space="0" w:color="auto"/>
              <w:right w:val="single" w:sz="4" w:space="0" w:color="auto"/>
            </w:tcBorders>
            <w:vAlign w:val="center"/>
            <w:hideMark/>
          </w:tcPr>
          <w:p w14:paraId="19B7D758" w14:textId="77777777" w:rsidR="00A900C1" w:rsidRPr="001207DF" w:rsidRDefault="00A900C1" w:rsidP="00E50CCF">
            <w:pPr>
              <w:jc w:val="center"/>
              <w:rPr>
                <w:rFonts w:eastAsia="黑体" w:cs="Times New Roman"/>
                <w:sz w:val="22"/>
                <w:szCs w:val="22"/>
              </w:rPr>
            </w:pPr>
            <w:r w:rsidRPr="001207DF">
              <w:rPr>
                <w:rFonts w:eastAsia="黑体" w:cs="Times New Roman"/>
                <w:sz w:val="22"/>
                <w:szCs w:val="22"/>
              </w:rPr>
              <w:t>FK</w:t>
            </w:r>
          </w:p>
        </w:tc>
        <w:tc>
          <w:tcPr>
            <w:tcW w:w="0" w:type="auto"/>
            <w:tcBorders>
              <w:top w:val="single" w:sz="4" w:space="0" w:color="auto"/>
              <w:left w:val="single" w:sz="4" w:space="0" w:color="auto"/>
              <w:bottom w:val="single" w:sz="12" w:space="0" w:color="auto"/>
              <w:right w:val="single" w:sz="4" w:space="0" w:color="auto"/>
            </w:tcBorders>
            <w:vAlign w:val="center"/>
            <w:hideMark/>
          </w:tcPr>
          <w:p w14:paraId="3CCD0770" w14:textId="77777777" w:rsidR="00A900C1" w:rsidRPr="001207DF" w:rsidRDefault="00A900C1" w:rsidP="00E50CCF">
            <w:pPr>
              <w:jc w:val="center"/>
              <w:rPr>
                <w:rFonts w:eastAsia="黑体" w:cs="Times New Roman"/>
                <w:sz w:val="22"/>
                <w:szCs w:val="22"/>
              </w:rPr>
            </w:pPr>
            <w:r w:rsidRPr="001207DF">
              <w:rPr>
                <w:rFonts w:eastAsia="黑体" w:cs="Times New Roman"/>
                <w:sz w:val="22"/>
                <w:szCs w:val="22"/>
              </w:rPr>
              <w:t>SK</w:t>
            </w:r>
          </w:p>
        </w:tc>
        <w:tc>
          <w:tcPr>
            <w:tcW w:w="0" w:type="auto"/>
            <w:tcBorders>
              <w:top w:val="single" w:sz="4" w:space="0" w:color="auto"/>
              <w:left w:val="single" w:sz="4" w:space="0" w:color="auto"/>
              <w:bottom w:val="single" w:sz="12" w:space="0" w:color="auto"/>
              <w:right w:val="single" w:sz="4" w:space="0" w:color="auto"/>
            </w:tcBorders>
            <w:vAlign w:val="center"/>
            <w:hideMark/>
          </w:tcPr>
          <w:p w14:paraId="20A31D92" w14:textId="27B62155" w:rsidR="00A900C1" w:rsidRPr="001207DF" w:rsidRDefault="00AE5394" w:rsidP="00E50CCF">
            <w:pPr>
              <w:jc w:val="center"/>
              <w:rPr>
                <w:rFonts w:eastAsia="黑体" w:cs="Times New Roman"/>
                <w:sz w:val="22"/>
                <w:szCs w:val="22"/>
              </w:rPr>
            </w:pPr>
            <w:r>
              <w:rPr>
                <w:rFonts w:eastAsia="黑体" w:cs="Times New Roman" w:hint="eastAsia"/>
                <w:sz w:val="22"/>
                <w:szCs w:val="22"/>
              </w:rPr>
              <w:t>PS</w:t>
            </w:r>
          </w:p>
        </w:tc>
        <w:tc>
          <w:tcPr>
            <w:tcW w:w="0" w:type="auto"/>
            <w:tcBorders>
              <w:top w:val="single" w:sz="4" w:space="0" w:color="auto"/>
              <w:left w:val="single" w:sz="4" w:space="0" w:color="auto"/>
              <w:bottom w:val="single" w:sz="12" w:space="0" w:color="auto"/>
              <w:right w:val="single" w:sz="4" w:space="0" w:color="auto"/>
            </w:tcBorders>
            <w:vAlign w:val="center"/>
            <w:hideMark/>
          </w:tcPr>
          <w:p w14:paraId="2CB22143" w14:textId="6AB47DB1" w:rsidR="00A900C1" w:rsidRPr="001207DF" w:rsidRDefault="00AE5394" w:rsidP="00E50CCF">
            <w:pPr>
              <w:jc w:val="center"/>
              <w:rPr>
                <w:rFonts w:eastAsia="黑体" w:cs="Times New Roman"/>
                <w:sz w:val="22"/>
                <w:szCs w:val="22"/>
              </w:rPr>
            </w:pPr>
            <w:r>
              <w:rPr>
                <w:rFonts w:eastAsia="黑体" w:cs="Times New Roman" w:hint="eastAsia"/>
                <w:sz w:val="22"/>
                <w:szCs w:val="22"/>
              </w:rPr>
              <w:t>MI</w:t>
            </w:r>
          </w:p>
        </w:tc>
        <w:tc>
          <w:tcPr>
            <w:tcW w:w="0" w:type="auto"/>
            <w:tcBorders>
              <w:top w:val="single" w:sz="4" w:space="0" w:color="auto"/>
              <w:left w:val="single" w:sz="4" w:space="0" w:color="auto"/>
              <w:bottom w:val="single" w:sz="12" w:space="0" w:color="auto"/>
              <w:right w:val="single" w:sz="4" w:space="0" w:color="auto"/>
            </w:tcBorders>
            <w:vAlign w:val="center"/>
          </w:tcPr>
          <w:p w14:paraId="48B2DC29" w14:textId="039FE908" w:rsidR="00A900C1" w:rsidRPr="001207DF" w:rsidRDefault="00AE5394" w:rsidP="00E50CCF">
            <w:pPr>
              <w:jc w:val="center"/>
              <w:rPr>
                <w:rFonts w:eastAsia="黑体" w:cs="Times New Roman"/>
                <w:sz w:val="22"/>
                <w:szCs w:val="22"/>
              </w:rPr>
            </w:pPr>
            <w:r>
              <w:rPr>
                <w:rFonts w:eastAsia="黑体" w:cs="Times New Roman" w:hint="eastAsia"/>
                <w:sz w:val="22"/>
                <w:szCs w:val="22"/>
              </w:rPr>
              <w:t>LS</w:t>
            </w:r>
          </w:p>
        </w:tc>
        <w:tc>
          <w:tcPr>
            <w:tcW w:w="0" w:type="auto"/>
            <w:tcBorders>
              <w:top w:val="single" w:sz="4" w:space="0" w:color="auto"/>
              <w:left w:val="single" w:sz="4" w:space="0" w:color="auto"/>
              <w:bottom w:val="single" w:sz="12" w:space="0" w:color="auto"/>
              <w:right w:val="single" w:sz="4" w:space="0" w:color="auto"/>
            </w:tcBorders>
            <w:vAlign w:val="center"/>
            <w:hideMark/>
          </w:tcPr>
          <w:p w14:paraId="10B4DC0D" w14:textId="77777777" w:rsidR="00A900C1" w:rsidRPr="001207DF" w:rsidRDefault="00A900C1" w:rsidP="00E50CCF">
            <w:pPr>
              <w:jc w:val="center"/>
              <w:rPr>
                <w:rFonts w:eastAsia="黑体" w:cs="Times New Roman"/>
                <w:sz w:val="22"/>
                <w:szCs w:val="22"/>
              </w:rPr>
            </w:pPr>
            <w:r w:rsidRPr="001207DF">
              <w:rPr>
                <w:rFonts w:eastAsia="黑体" w:cs="Times New Roman"/>
                <w:sz w:val="22"/>
                <w:szCs w:val="22"/>
              </w:rPr>
              <w:t>TC</w:t>
            </w:r>
          </w:p>
        </w:tc>
        <w:tc>
          <w:tcPr>
            <w:tcW w:w="0" w:type="auto"/>
            <w:tcBorders>
              <w:top w:val="single" w:sz="4" w:space="0" w:color="auto"/>
              <w:left w:val="single" w:sz="4" w:space="0" w:color="auto"/>
              <w:bottom w:val="single" w:sz="12" w:space="0" w:color="auto"/>
              <w:right w:val="single" w:sz="4" w:space="0" w:color="auto"/>
            </w:tcBorders>
            <w:vAlign w:val="center"/>
            <w:hideMark/>
          </w:tcPr>
          <w:p w14:paraId="056A9952" w14:textId="77777777" w:rsidR="00A900C1" w:rsidRPr="001207DF" w:rsidRDefault="00A900C1" w:rsidP="00E50CCF">
            <w:pPr>
              <w:jc w:val="center"/>
              <w:rPr>
                <w:rFonts w:eastAsia="黑体" w:cs="Times New Roman"/>
                <w:sz w:val="22"/>
                <w:szCs w:val="22"/>
              </w:rPr>
            </w:pPr>
            <w:r w:rsidRPr="001207DF">
              <w:rPr>
                <w:rFonts w:eastAsia="黑体" w:cs="Times New Roman"/>
                <w:sz w:val="22"/>
                <w:szCs w:val="22"/>
              </w:rPr>
              <w:t>QT</w:t>
            </w:r>
          </w:p>
        </w:tc>
        <w:tc>
          <w:tcPr>
            <w:tcW w:w="0" w:type="auto"/>
            <w:tcBorders>
              <w:top w:val="single" w:sz="4" w:space="0" w:color="auto"/>
              <w:left w:val="single" w:sz="4" w:space="0" w:color="auto"/>
              <w:bottom w:val="single" w:sz="12" w:space="0" w:color="auto"/>
              <w:right w:val="single" w:sz="4" w:space="0" w:color="auto"/>
            </w:tcBorders>
            <w:vAlign w:val="center"/>
            <w:hideMark/>
          </w:tcPr>
          <w:p w14:paraId="658893E9" w14:textId="77777777" w:rsidR="00A900C1" w:rsidRPr="001207DF" w:rsidRDefault="00A900C1" w:rsidP="00E50CCF">
            <w:pPr>
              <w:jc w:val="center"/>
              <w:rPr>
                <w:rFonts w:eastAsia="黑体" w:cs="Times New Roman"/>
                <w:sz w:val="22"/>
                <w:szCs w:val="22"/>
              </w:rPr>
            </w:pPr>
            <w:r w:rsidRPr="001207DF">
              <w:rPr>
                <w:rFonts w:eastAsia="黑体" w:cs="Times New Roman"/>
                <w:sz w:val="22"/>
                <w:szCs w:val="22"/>
              </w:rPr>
              <w:t>IP</w:t>
            </w:r>
          </w:p>
        </w:tc>
        <w:tc>
          <w:tcPr>
            <w:tcW w:w="703" w:type="dxa"/>
            <w:tcBorders>
              <w:top w:val="single" w:sz="4" w:space="0" w:color="auto"/>
              <w:left w:val="single" w:sz="4" w:space="0" w:color="auto"/>
              <w:bottom w:val="single" w:sz="12" w:space="0" w:color="auto"/>
              <w:right w:val="single" w:sz="4" w:space="0" w:color="auto"/>
            </w:tcBorders>
            <w:vAlign w:val="center"/>
            <w:hideMark/>
          </w:tcPr>
          <w:p w14:paraId="439F4988" w14:textId="798DF9FC" w:rsidR="00A900C1" w:rsidRPr="001207DF" w:rsidRDefault="00AE5394" w:rsidP="00E50CCF">
            <w:pPr>
              <w:jc w:val="center"/>
              <w:rPr>
                <w:rFonts w:eastAsia="黑体" w:cs="Times New Roman"/>
                <w:sz w:val="22"/>
                <w:szCs w:val="22"/>
              </w:rPr>
            </w:pPr>
            <w:r>
              <w:rPr>
                <w:rFonts w:eastAsia="黑体" w:cs="Times New Roman" w:hint="eastAsia"/>
                <w:sz w:val="22"/>
                <w:szCs w:val="22"/>
              </w:rPr>
              <w:t>SE</w:t>
            </w:r>
          </w:p>
        </w:tc>
        <w:tc>
          <w:tcPr>
            <w:tcW w:w="727" w:type="dxa"/>
            <w:tcBorders>
              <w:top w:val="single" w:sz="4" w:space="0" w:color="auto"/>
              <w:left w:val="single" w:sz="4" w:space="0" w:color="auto"/>
              <w:bottom w:val="single" w:sz="12" w:space="0" w:color="auto"/>
              <w:right w:val="single" w:sz="18" w:space="0" w:color="auto"/>
            </w:tcBorders>
            <w:vAlign w:val="center"/>
            <w:hideMark/>
          </w:tcPr>
          <w:p w14:paraId="50D4B1DC" w14:textId="77777777" w:rsidR="00A900C1" w:rsidRPr="001207DF" w:rsidRDefault="00A900C1" w:rsidP="00E50CCF">
            <w:pPr>
              <w:jc w:val="center"/>
              <w:rPr>
                <w:rFonts w:eastAsia="黑体" w:cs="Times New Roman"/>
                <w:sz w:val="22"/>
                <w:szCs w:val="22"/>
              </w:rPr>
            </w:pPr>
            <w:r w:rsidRPr="001207DF">
              <w:rPr>
                <w:rFonts w:eastAsia="黑体" w:cs="Times New Roman"/>
                <w:sz w:val="22"/>
                <w:szCs w:val="22"/>
              </w:rPr>
              <w:t>SR</w:t>
            </w:r>
          </w:p>
        </w:tc>
      </w:tr>
      <w:tr w:rsidR="00A20C73" w:rsidRPr="001207DF" w14:paraId="0C11F6A5" w14:textId="77777777" w:rsidTr="002470A3">
        <w:trPr>
          <w:jc w:val="center"/>
        </w:trPr>
        <w:tc>
          <w:tcPr>
            <w:tcW w:w="1619" w:type="dxa"/>
            <w:tcBorders>
              <w:top w:val="single" w:sz="12" w:space="0" w:color="auto"/>
              <w:left w:val="single" w:sz="18" w:space="0" w:color="auto"/>
              <w:bottom w:val="single" w:sz="4" w:space="0" w:color="auto"/>
              <w:right w:val="single" w:sz="4" w:space="0" w:color="auto"/>
            </w:tcBorders>
            <w:hideMark/>
          </w:tcPr>
          <w:p w14:paraId="53FF9655" w14:textId="2372107F" w:rsidR="00A20C73" w:rsidRPr="001207DF" w:rsidRDefault="00A20C73" w:rsidP="00A20C73">
            <w:pPr>
              <w:spacing w:line="288" w:lineRule="auto"/>
              <w:jc w:val="left"/>
              <w:rPr>
                <w:rFonts w:eastAsia="黑体" w:cs="Times New Roman"/>
                <w:color w:val="000000"/>
                <w:sz w:val="22"/>
                <w:szCs w:val="22"/>
              </w:rPr>
            </w:pPr>
            <w:r w:rsidRPr="001207DF">
              <w:rPr>
                <w:rFonts w:cs="Times New Roman"/>
                <w:color w:val="000000" w:themeColor="text1"/>
                <w:sz w:val="22"/>
                <w:szCs w:val="22"/>
              </w:rPr>
              <w:t xml:space="preserve">Participation </w:t>
            </w:r>
            <w:r w:rsidRPr="001207DF">
              <w:rPr>
                <w:rFonts w:eastAsiaTheme="minorEastAsia" w:cs="Times New Roman" w:hint="eastAsia"/>
                <w:color w:val="000000" w:themeColor="text1"/>
                <w:sz w:val="22"/>
                <w:szCs w:val="22"/>
              </w:rPr>
              <w:t xml:space="preserve">&amp; </w:t>
            </w:r>
            <w:r w:rsidRPr="001207DF">
              <w:rPr>
                <w:rFonts w:cs="Times New Roman"/>
                <w:color w:val="000000" w:themeColor="text1"/>
                <w:sz w:val="22"/>
                <w:szCs w:val="22"/>
              </w:rPr>
              <w:t>contribution</w:t>
            </w:r>
          </w:p>
        </w:tc>
        <w:tc>
          <w:tcPr>
            <w:tcW w:w="846" w:type="dxa"/>
            <w:tcBorders>
              <w:top w:val="single" w:sz="12" w:space="0" w:color="auto"/>
              <w:left w:val="single" w:sz="4" w:space="0" w:color="auto"/>
              <w:bottom w:val="single" w:sz="4" w:space="0" w:color="auto"/>
              <w:right w:val="single" w:sz="12" w:space="0" w:color="auto"/>
            </w:tcBorders>
            <w:hideMark/>
          </w:tcPr>
          <w:p w14:paraId="0F370DE7" w14:textId="4B4F3768" w:rsidR="00A20C73" w:rsidRPr="001207DF" w:rsidRDefault="008C2B3D" w:rsidP="00A20C73">
            <w:pPr>
              <w:spacing w:line="288" w:lineRule="auto"/>
              <w:jc w:val="center"/>
              <w:rPr>
                <w:rFonts w:eastAsiaTheme="minorEastAsia" w:cs="Times New Roman"/>
                <w:color w:val="000000"/>
                <w:sz w:val="22"/>
                <w:szCs w:val="22"/>
              </w:rPr>
            </w:pPr>
            <w:r>
              <w:rPr>
                <w:rFonts w:eastAsiaTheme="minorEastAsia" w:cs="Times New Roman" w:hint="eastAsia"/>
                <w:color w:val="000000" w:themeColor="text1"/>
                <w:sz w:val="22"/>
                <w:szCs w:val="22"/>
              </w:rPr>
              <w:t>1</w:t>
            </w:r>
            <w:r w:rsidR="00A20C73" w:rsidRPr="001207DF">
              <w:rPr>
                <w:rFonts w:cs="Times New Roman"/>
                <w:color w:val="000000" w:themeColor="text1"/>
                <w:sz w:val="22"/>
                <w:szCs w:val="22"/>
              </w:rPr>
              <w:t>0%</w:t>
            </w:r>
          </w:p>
        </w:tc>
        <w:tc>
          <w:tcPr>
            <w:tcW w:w="0" w:type="auto"/>
            <w:tcBorders>
              <w:top w:val="single" w:sz="12" w:space="0" w:color="auto"/>
              <w:left w:val="single" w:sz="12" w:space="0" w:color="auto"/>
              <w:bottom w:val="single" w:sz="4" w:space="0" w:color="auto"/>
              <w:right w:val="single" w:sz="4" w:space="0" w:color="auto"/>
            </w:tcBorders>
            <w:vAlign w:val="center"/>
          </w:tcPr>
          <w:p w14:paraId="4E1D1449" w14:textId="77777777" w:rsidR="00A20C73" w:rsidRPr="001207DF" w:rsidRDefault="00A20C73" w:rsidP="00A20C73">
            <w:pPr>
              <w:spacing w:line="288" w:lineRule="auto"/>
              <w:rPr>
                <w:rFonts w:eastAsiaTheme="minorEastAsia" w:cs="Times New Roman"/>
                <w:color w:val="000000"/>
                <w:sz w:val="22"/>
                <w:szCs w:val="22"/>
              </w:rPr>
            </w:pPr>
            <w:r w:rsidRPr="001207DF">
              <w:rPr>
                <w:rFonts w:eastAsiaTheme="minorEastAsia" w:cs="Times New Roman"/>
                <w:color w:val="000000"/>
                <w:sz w:val="22"/>
                <w:szCs w:val="22"/>
              </w:rPr>
              <w:t> </w:t>
            </w:r>
          </w:p>
        </w:tc>
        <w:tc>
          <w:tcPr>
            <w:tcW w:w="0" w:type="auto"/>
            <w:tcBorders>
              <w:top w:val="single" w:sz="12" w:space="0" w:color="auto"/>
              <w:left w:val="single" w:sz="4" w:space="0" w:color="auto"/>
              <w:bottom w:val="single" w:sz="4" w:space="0" w:color="auto"/>
              <w:right w:val="single" w:sz="4" w:space="0" w:color="auto"/>
            </w:tcBorders>
            <w:vAlign w:val="center"/>
          </w:tcPr>
          <w:p w14:paraId="4CA0054B" w14:textId="7777777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12" w:space="0" w:color="auto"/>
              <w:left w:val="single" w:sz="4" w:space="0" w:color="auto"/>
              <w:bottom w:val="single" w:sz="4" w:space="0" w:color="auto"/>
              <w:right w:val="single" w:sz="4" w:space="0" w:color="auto"/>
            </w:tcBorders>
            <w:vAlign w:val="center"/>
            <w:hideMark/>
          </w:tcPr>
          <w:p w14:paraId="31F7E0BE" w14:textId="34DF569D" w:rsidR="00A20C73" w:rsidRPr="001207DF" w:rsidRDefault="00A20C73" w:rsidP="00A20C73">
            <w:pPr>
              <w:spacing w:line="288" w:lineRule="auto"/>
              <w:rPr>
                <w:rFonts w:eastAsiaTheme="minorEastAsia" w:cs="Times New Roman"/>
                <w:color w:val="000000"/>
                <w:sz w:val="22"/>
                <w:szCs w:val="22"/>
              </w:rPr>
            </w:pPr>
            <w:r w:rsidRPr="003D5479">
              <w:rPr>
                <w:rFonts w:ascii="Tw Cen MT Condensed Extra Bold" w:eastAsia="等线" w:hAnsi="Tw Cen MT Condensed Extra Bold"/>
                <w:color w:val="000000"/>
                <w:sz w:val="22"/>
                <w:szCs w:val="22"/>
              </w:rPr>
              <w:t>√</w:t>
            </w:r>
          </w:p>
        </w:tc>
        <w:tc>
          <w:tcPr>
            <w:tcW w:w="0" w:type="auto"/>
            <w:tcBorders>
              <w:top w:val="single" w:sz="12" w:space="0" w:color="auto"/>
              <w:left w:val="single" w:sz="4" w:space="0" w:color="auto"/>
              <w:bottom w:val="single" w:sz="4" w:space="0" w:color="auto"/>
              <w:right w:val="single" w:sz="4" w:space="0" w:color="auto"/>
            </w:tcBorders>
            <w:vAlign w:val="center"/>
            <w:hideMark/>
          </w:tcPr>
          <w:p w14:paraId="0D75B257" w14:textId="69A99525" w:rsidR="00A20C73" w:rsidRPr="001207DF" w:rsidRDefault="00A20C73" w:rsidP="00A20C73">
            <w:pPr>
              <w:spacing w:line="288" w:lineRule="auto"/>
              <w:rPr>
                <w:rFonts w:eastAsiaTheme="minorEastAsia" w:cs="Times New Roman"/>
                <w:color w:val="000000"/>
                <w:sz w:val="22"/>
                <w:szCs w:val="22"/>
              </w:rPr>
            </w:pPr>
            <w:r w:rsidRPr="003D5479">
              <w:rPr>
                <w:rFonts w:ascii="Tw Cen MT Condensed Extra Bold" w:eastAsia="等线" w:hAnsi="Tw Cen MT Condensed Extra Bold"/>
                <w:color w:val="000000"/>
                <w:sz w:val="22"/>
                <w:szCs w:val="22"/>
              </w:rPr>
              <w:t>√</w:t>
            </w:r>
          </w:p>
        </w:tc>
        <w:tc>
          <w:tcPr>
            <w:tcW w:w="0" w:type="auto"/>
            <w:tcBorders>
              <w:top w:val="single" w:sz="12" w:space="0" w:color="auto"/>
              <w:left w:val="single" w:sz="4" w:space="0" w:color="auto"/>
              <w:bottom w:val="single" w:sz="4" w:space="0" w:color="auto"/>
              <w:right w:val="single" w:sz="4" w:space="0" w:color="auto"/>
            </w:tcBorders>
            <w:vAlign w:val="center"/>
            <w:hideMark/>
          </w:tcPr>
          <w:p w14:paraId="77477ADC" w14:textId="1A52046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12" w:space="0" w:color="auto"/>
              <w:left w:val="single" w:sz="4" w:space="0" w:color="auto"/>
              <w:bottom w:val="single" w:sz="4" w:space="0" w:color="auto"/>
              <w:right w:val="single" w:sz="4" w:space="0" w:color="auto"/>
            </w:tcBorders>
            <w:vAlign w:val="center"/>
          </w:tcPr>
          <w:p w14:paraId="0C41402A" w14:textId="577FB0AB"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12" w:space="0" w:color="auto"/>
              <w:left w:val="single" w:sz="4" w:space="0" w:color="auto"/>
              <w:bottom w:val="single" w:sz="4" w:space="0" w:color="auto"/>
              <w:right w:val="single" w:sz="4" w:space="0" w:color="auto"/>
            </w:tcBorders>
            <w:vAlign w:val="center"/>
            <w:hideMark/>
          </w:tcPr>
          <w:p w14:paraId="3E4730A6" w14:textId="70A0D0B5" w:rsidR="00A20C73" w:rsidRPr="001207DF" w:rsidRDefault="00A20C73" w:rsidP="00A20C73">
            <w:pPr>
              <w:spacing w:line="288" w:lineRule="auto"/>
              <w:rPr>
                <w:rFonts w:eastAsiaTheme="minorEastAsia" w:cs="Times New Roman"/>
                <w:color w:val="000000"/>
                <w:sz w:val="22"/>
                <w:szCs w:val="22"/>
              </w:rPr>
            </w:pPr>
            <w:r w:rsidRPr="005D1671">
              <w:rPr>
                <w:rFonts w:ascii="Tw Cen MT Condensed Extra Bold" w:eastAsia="等线" w:hAnsi="Tw Cen MT Condensed Extra Bold"/>
                <w:color w:val="000000"/>
                <w:sz w:val="22"/>
                <w:szCs w:val="22"/>
              </w:rPr>
              <w:t>√</w:t>
            </w:r>
          </w:p>
        </w:tc>
        <w:tc>
          <w:tcPr>
            <w:tcW w:w="0" w:type="auto"/>
            <w:tcBorders>
              <w:top w:val="single" w:sz="12" w:space="0" w:color="auto"/>
              <w:left w:val="single" w:sz="4" w:space="0" w:color="auto"/>
              <w:bottom w:val="single" w:sz="4" w:space="0" w:color="auto"/>
              <w:right w:val="single" w:sz="4" w:space="0" w:color="auto"/>
            </w:tcBorders>
            <w:vAlign w:val="center"/>
          </w:tcPr>
          <w:p w14:paraId="4C221C48" w14:textId="43C7EC0C" w:rsidR="00A20C73" w:rsidRPr="001207DF" w:rsidRDefault="00A20C73" w:rsidP="00A20C73">
            <w:pPr>
              <w:spacing w:line="288" w:lineRule="auto"/>
              <w:rPr>
                <w:rFonts w:eastAsiaTheme="minorEastAsia" w:cs="Times New Roman"/>
                <w:color w:val="000000"/>
                <w:sz w:val="22"/>
                <w:szCs w:val="22"/>
              </w:rPr>
            </w:pPr>
            <w:r w:rsidRPr="005D1671">
              <w:rPr>
                <w:rFonts w:ascii="Tw Cen MT Condensed Extra Bold" w:eastAsia="等线" w:hAnsi="Tw Cen MT Condensed Extra Bold"/>
                <w:color w:val="000000"/>
                <w:sz w:val="22"/>
                <w:szCs w:val="22"/>
              </w:rPr>
              <w:t>√</w:t>
            </w:r>
          </w:p>
        </w:tc>
        <w:tc>
          <w:tcPr>
            <w:tcW w:w="0" w:type="auto"/>
            <w:tcBorders>
              <w:top w:val="single" w:sz="12" w:space="0" w:color="auto"/>
              <w:left w:val="single" w:sz="4" w:space="0" w:color="auto"/>
              <w:bottom w:val="single" w:sz="4" w:space="0" w:color="auto"/>
              <w:right w:val="single" w:sz="4" w:space="0" w:color="auto"/>
            </w:tcBorders>
            <w:vAlign w:val="center"/>
          </w:tcPr>
          <w:p w14:paraId="53A3D70A" w14:textId="7F8D03B9" w:rsidR="00A20C73" w:rsidRPr="001207DF" w:rsidRDefault="00A20C73" w:rsidP="00A20C73">
            <w:pPr>
              <w:spacing w:line="288" w:lineRule="auto"/>
              <w:rPr>
                <w:rFonts w:eastAsiaTheme="minorEastAsia" w:cs="Times New Roman"/>
                <w:color w:val="000000"/>
                <w:sz w:val="22"/>
                <w:szCs w:val="22"/>
              </w:rPr>
            </w:pPr>
            <w:r w:rsidRPr="005D1671">
              <w:rPr>
                <w:rFonts w:ascii="Tw Cen MT Condensed Extra Bold" w:eastAsia="等线" w:hAnsi="Tw Cen MT Condensed Extra Bold"/>
                <w:color w:val="000000"/>
                <w:sz w:val="22"/>
                <w:szCs w:val="22"/>
              </w:rPr>
              <w:t>√</w:t>
            </w:r>
          </w:p>
        </w:tc>
        <w:tc>
          <w:tcPr>
            <w:tcW w:w="703" w:type="dxa"/>
            <w:tcBorders>
              <w:top w:val="single" w:sz="12" w:space="0" w:color="auto"/>
              <w:left w:val="single" w:sz="4" w:space="0" w:color="auto"/>
              <w:bottom w:val="single" w:sz="4" w:space="0" w:color="auto"/>
              <w:right w:val="single" w:sz="4" w:space="0" w:color="auto"/>
            </w:tcBorders>
            <w:vAlign w:val="center"/>
          </w:tcPr>
          <w:p w14:paraId="4F7D6F27" w14:textId="77777777" w:rsidR="00A20C73" w:rsidRPr="001207DF" w:rsidRDefault="00A20C73" w:rsidP="00A20C73">
            <w:pPr>
              <w:spacing w:line="288" w:lineRule="auto"/>
              <w:rPr>
                <w:rFonts w:eastAsiaTheme="minorEastAsia" w:cs="Times New Roman"/>
                <w:color w:val="000000"/>
                <w:sz w:val="22"/>
                <w:szCs w:val="22"/>
              </w:rPr>
            </w:pPr>
          </w:p>
        </w:tc>
        <w:tc>
          <w:tcPr>
            <w:tcW w:w="727" w:type="dxa"/>
            <w:tcBorders>
              <w:top w:val="single" w:sz="12" w:space="0" w:color="auto"/>
              <w:left w:val="single" w:sz="4" w:space="0" w:color="auto"/>
              <w:bottom w:val="single" w:sz="4" w:space="0" w:color="auto"/>
              <w:right w:val="single" w:sz="18" w:space="0" w:color="auto"/>
            </w:tcBorders>
            <w:vAlign w:val="center"/>
            <w:hideMark/>
          </w:tcPr>
          <w:p w14:paraId="1A1E00D0" w14:textId="1794EBD9" w:rsidR="00A20C73" w:rsidRPr="001207DF" w:rsidRDefault="00A20C73" w:rsidP="00A20C73">
            <w:pPr>
              <w:spacing w:line="288" w:lineRule="auto"/>
              <w:rPr>
                <w:rFonts w:eastAsiaTheme="minorEastAsia" w:cs="Times New Roman"/>
                <w:color w:val="000000"/>
                <w:sz w:val="22"/>
                <w:szCs w:val="22"/>
              </w:rPr>
            </w:pPr>
          </w:p>
        </w:tc>
      </w:tr>
      <w:tr w:rsidR="00A20C73" w:rsidRPr="001207DF" w14:paraId="386696D8" w14:textId="77777777" w:rsidTr="002470A3">
        <w:trPr>
          <w:jc w:val="center"/>
        </w:trPr>
        <w:tc>
          <w:tcPr>
            <w:tcW w:w="1619" w:type="dxa"/>
            <w:tcBorders>
              <w:top w:val="single" w:sz="4" w:space="0" w:color="auto"/>
              <w:left w:val="single" w:sz="18" w:space="0" w:color="auto"/>
              <w:bottom w:val="single" w:sz="4" w:space="0" w:color="auto"/>
              <w:right w:val="single" w:sz="4" w:space="0" w:color="auto"/>
            </w:tcBorders>
            <w:hideMark/>
          </w:tcPr>
          <w:p w14:paraId="282FCB92" w14:textId="048A20E6" w:rsidR="00A20C73" w:rsidRPr="00653963" w:rsidRDefault="00A20C73" w:rsidP="00A20C73">
            <w:pPr>
              <w:spacing w:line="288" w:lineRule="auto"/>
              <w:jc w:val="left"/>
              <w:rPr>
                <w:rFonts w:eastAsiaTheme="minorEastAsia" w:cs="Times New Roman"/>
                <w:color w:val="000000"/>
                <w:sz w:val="22"/>
                <w:szCs w:val="22"/>
              </w:rPr>
            </w:pPr>
            <w:r w:rsidRPr="001207DF">
              <w:rPr>
                <w:rFonts w:cs="Times New Roman"/>
                <w:color w:val="000000" w:themeColor="text1"/>
                <w:sz w:val="22"/>
                <w:szCs w:val="22"/>
              </w:rPr>
              <w:t>Group D</w:t>
            </w:r>
            <w:r>
              <w:rPr>
                <w:rFonts w:eastAsiaTheme="minorEastAsia" w:cs="Times New Roman" w:hint="eastAsia"/>
                <w:color w:val="000000" w:themeColor="text1"/>
                <w:sz w:val="22"/>
                <w:szCs w:val="22"/>
              </w:rPr>
              <w:t>ebate</w:t>
            </w:r>
            <w:r w:rsidR="008C2B3D">
              <w:rPr>
                <w:rFonts w:eastAsiaTheme="minorEastAsia" w:cs="Times New Roman" w:hint="eastAsia"/>
                <w:color w:val="000000" w:themeColor="text1"/>
                <w:sz w:val="22"/>
                <w:szCs w:val="22"/>
              </w:rPr>
              <w:t xml:space="preserve"> and presentation</w:t>
            </w:r>
          </w:p>
        </w:tc>
        <w:tc>
          <w:tcPr>
            <w:tcW w:w="846" w:type="dxa"/>
            <w:tcBorders>
              <w:top w:val="single" w:sz="4" w:space="0" w:color="auto"/>
              <w:left w:val="single" w:sz="4" w:space="0" w:color="auto"/>
              <w:bottom w:val="single" w:sz="4" w:space="0" w:color="auto"/>
              <w:right w:val="single" w:sz="12" w:space="0" w:color="auto"/>
            </w:tcBorders>
            <w:hideMark/>
          </w:tcPr>
          <w:p w14:paraId="4CA15949" w14:textId="6BC891CB" w:rsidR="00A20C73" w:rsidRPr="001207DF" w:rsidRDefault="008C2B3D" w:rsidP="00A20C73">
            <w:pPr>
              <w:spacing w:line="288" w:lineRule="auto"/>
              <w:jc w:val="center"/>
              <w:rPr>
                <w:rFonts w:eastAsiaTheme="minorEastAsia" w:cs="Times New Roman"/>
                <w:color w:val="000000"/>
                <w:sz w:val="22"/>
                <w:szCs w:val="22"/>
              </w:rPr>
            </w:pPr>
            <w:r>
              <w:rPr>
                <w:rFonts w:eastAsiaTheme="minorEastAsia" w:cs="Times New Roman" w:hint="eastAsia"/>
                <w:color w:val="000000" w:themeColor="text1"/>
                <w:sz w:val="22"/>
                <w:szCs w:val="22"/>
              </w:rPr>
              <w:t>3</w:t>
            </w:r>
            <w:r w:rsidR="00A20C73">
              <w:rPr>
                <w:rFonts w:eastAsiaTheme="minorEastAsia" w:cs="Times New Roman" w:hint="eastAsia"/>
                <w:color w:val="000000" w:themeColor="text1"/>
                <w:sz w:val="22"/>
                <w:szCs w:val="22"/>
              </w:rPr>
              <w:t>0</w:t>
            </w:r>
            <w:r w:rsidR="00A20C73" w:rsidRPr="001207DF">
              <w:rPr>
                <w:rFonts w:cs="Times New Roman"/>
                <w:color w:val="000000" w:themeColor="text1"/>
                <w:sz w:val="22"/>
                <w:szCs w:val="22"/>
              </w:rPr>
              <w:t>%</w:t>
            </w:r>
          </w:p>
        </w:tc>
        <w:tc>
          <w:tcPr>
            <w:tcW w:w="0" w:type="auto"/>
            <w:tcBorders>
              <w:top w:val="single" w:sz="4" w:space="0" w:color="auto"/>
              <w:left w:val="single" w:sz="12" w:space="0" w:color="auto"/>
              <w:bottom w:val="single" w:sz="4" w:space="0" w:color="auto"/>
              <w:right w:val="single" w:sz="4" w:space="0" w:color="auto"/>
            </w:tcBorders>
            <w:vAlign w:val="center"/>
          </w:tcPr>
          <w:p w14:paraId="64EB16AA" w14:textId="7777777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9D16D19" w14:textId="7777777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2531CCA" w14:textId="7CC6F104" w:rsidR="00A20C73" w:rsidRPr="001207DF" w:rsidRDefault="00A20C73" w:rsidP="00A20C73">
            <w:pPr>
              <w:spacing w:line="288" w:lineRule="auto"/>
              <w:rPr>
                <w:rFonts w:eastAsiaTheme="minorEastAsia" w:cs="Times New Roman"/>
                <w:color w:val="000000"/>
                <w:sz w:val="22"/>
                <w:szCs w:val="22"/>
              </w:rPr>
            </w:pPr>
            <w:r w:rsidRPr="009B01D3">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98460E1" w14:textId="181E2D1D" w:rsidR="00A20C73" w:rsidRPr="001207DF" w:rsidRDefault="00A20C73" w:rsidP="00A20C73">
            <w:pPr>
              <w:spacing w:line="288" w:lineRule="auto"/>
              <w:rPr>
                <w:rFonts w:eastAsiaTheme="minorEastAsia" w:cs="Times New Roman"/>
                <w:color w:val="000000"/>
                <w:sz w:val="22"/>
                <w:szCs w:val="22"/>
              </w:rPr>
            </w:pPr>
            <w:r w:rsidRPr="009B01D3">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6855601" w14:textId="4C5AE142" w:rsidR="00A20C73" w:rsidRPr="001207DF" w:rsidRDefault="00A20C73" w:rsidP="00A20C73">
            <w:pPr>
              <w:spacing w:line="288" w:lineRule="auto"/>
              <w:rPr>
                <w:rFonts w:eastAsiaTheme="minorEastAsia" w:cs="Times New Roman"/>
                <w:color w:val="000000"/>
                <w:sz w:val="22"/>
                <w:szCs w:val="22"/>
              </w:rPr>
            </w:pPr>
            <w:r>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54413C07" w14:textId="035C901C"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5A8C650" w14:textId="09DDCD82" w:rsidR="00A20C73" w:rsidRPr="001207DF" w:rsidRDefault="00A20C73" w:rsidP="00A20C73">
            <w:pPr>
              <w:spacing w:line="288" w:lineRule="auto"/>
              <w:rPr>
                <w:rFonts w:eastAsiaTheme="minorEastAsia" w:cs="Times New Roman"/>
                <w:color w:val="000000"/>
                <w:sz w:val="22"/>
                <w:szCs w:val="22"/>
              </w:rPr>
            </w:pPr>
            <w:r>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6CCC8E0" w14:textId="7777777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942FCBC" w14:textId="7FBC8EBF" w:rsidR="00A20C73" w:rsidRPr="001207DF" w:rsidRDefault="00A20C73" w:rsidP="00A20C73">
            <w:pPr>
              <w:spacing w:line="288" w:lineRule="auto"/>
              <w:rPr>
                <w:rFonts w:eastAsiaTheme="minorEastAsia" w:cs="Times New Roman"/>
                <w:color w:val="000000"/>
                <w:sz w:val="22"/>
                <w:szCs w:val="22"/>
              </w:rPr>
            </w:pPr>
            <w:r>
              <w:rPr>
                <w:rFonts w:ascii="Tw Cen MT Condensed Extra Bold" w:eastAsia="等线" w:hAnsi="Tw Cen MT Condensed Extra Bold"/>
                <w:color w:val="000000"/>
                <w:sz w:val="22"/>
                <w:szCs w:val="22"/>
              </w:rPr>
              <w:t>√</w:t>
            </w:r>
          </w:p>
        </w:tc>
        <w:tc>
          <w:tcPr>
            <w:tcW w:w="703" w:type="dxa"/>
            <w:tcBorders>
              <w:top w:val="single" w:sz="4" w:space="0" w:color="auto"/>
              <w:left w:val="single" w:sz="4" w:space="0" w:color="auto"/>
              <w:bottom w:val="single" w:sz="4" w:space="0" w:color="auto"/>
              <w:right w:val="single" w:sz="4" w:space="0" w:color="auto"/>
            </w:tcBorders>
            <w:vAlign w:val="center"/>
          </w:tcPr>
          <w:p w14:paraId="29E69D74" w14:textId="2BB0A879" w:rsidR="00A20C73" w:rsidRPr="001207DF" w:rsidRDefault="00A20C73" w:rsidP="00A20C73">
            <w:pPr>
              <w:spacing w:line="288" w:lineRule="auto"/>
              <w:rPr>
                <w:rFonts w:eastAsiaTheme="minorEastAsia" w:cs="Times New Roman"/>
                <w:color w:val="000000"/>
                <w:sz w:val="22"/>
                <w:szCs w:val="22"/>
              </w:rPr>
            </w:pPr>
          </w:p>
        </w:tc>
        <w:tc>
          <w:tcPr>
            <w:tcW w:w="727" w:type="dxa"/>
            <w:tcBorders>
              <w:top w:val="single" w:sz="4" w:space="0" w:color="auto"/>
              <w:left w:val="single" w:sz="4" w:space="0" w:color="auto"/>
              <w:bottom w:val="single" w:sz="4" w:space="0" w:color="auto"/>
              <w:right w:val="single" w:sz="18" w:space="0" w:color="auto"/>
            </w:tcBorders>
            <w:vAlign w:val="center"/>
          </w:tcPr>
          <w:p w14:paraId="0F3326DD" w14:textId="77777777" w:rsidR="00A20C73" w:rsidRPr="001207DF" w:rsidRDefault="00A20C73" w:rsidP="00A20C73">
            <w:pPr>
              <w:spacing w:line="288" w:lineRule="auto"/>
              <w:rPr>
                <w:rFonts w:eastAsiaTheme="minorEastAsia" w:cs="Times New Roman"/>
                <w:color w:val="000000"/>
                <w:sz w:val="22"/>
                <w:szCs w:val="22"/>
              </w:rPr>
            </w:pPr>
          </w:p>
        </w:tc>
      </w:tr>
      <w:tr w:rsidR="00A20C73" w:rsidRPr="001207DF" w14:paraId="746D4ACA" w14:textId="77777777" w:rsidTr="002470A3">
        <w:trPr>
          <w:jc w:val="center"/>
        </w:trPr>
        <w:tc>
          <w:tcPr>
            <w:tcW w:w="1619" w:type="dxa"/>
            <w:tcBorders>
              <w:top w:val="single" w:sz="4" w:space="0" w:color="auto"/>
              <w:left w:val="single" w:sz="18" w:space="0" w:color="auto"/>
              <w:bottom w:val="single" w:sz="4" w:space="0" w:color="auto"/>
              <w:right w:val="single" w:sz="4" w:space="0" w:color="auto"/>
            </w:tcBorders>
          </w:tcPr>
          <w:p w14:paraId="52B5BCE7" w14:textId="77777777" w:rsidR="00A20C73" w:rsidRPr="001207DF" w:rsidRDefault="00A20C73" w:rsidP="00A20C73">
            <w:pPr>
              <w:spacing w:line="288" w:lineRule="auto"/>
              <w:jc w:val="left"/>
              <w:rPr>
                <w:rFonts w:eastAsia="黑体" w:cs="Times New Roman"/>
                <w:color w:val="000000"/>
                <w:sz w:val="22"/>
                <w:szCs w:val="22"/>
              </w:rPr>
            </w:pPr>
            <w:r w:rsidRPr="001207DF">
              <w:rPr>
                <w:rFonts w:eastAsiaTheme="minorEastAsia" w:cs="Times New Roman"/>
                <w:color w:val="000000" w:themeColor="text1"/>
                <w:sz w:val="22"/>
                <w:szCs w:val="22"/>
              </w:rPr>
              <w:t>Group case analysis</w:t>
            </w:r>
          </w:p>
        </w:tc>
        <w:tc>
          <w:tcPr>
            <w:tcW w:w="846" w:type="dxa"/>
            <w:tcBorders>
              <w:top w:val="single" w:sz="4" w:space="0" w:color="auto"/>
              <w:left w:val="single" w:sz="4" w:space="0" w:color="auto"/>
              <w:bottom w:val="single" w:sz="4" w:space="0" w:color="auto"/>
              <w:right w:val="single" w:sz="12" w:space="0" w:color="auto"/>
            </w:tcBorders>
          </w:tcPr>
          <w:p w14:paraId="211CBAFE" w14:textId="265E5A19" w:rsidR="00A20C73" w:rsidRPr="001207DF" w:rsidRDefault="00A20C73" w:rsidP="00A20C73">
            <w:pPr>
              <w:spacing w:line="288" w:lineRule="auto"/>
              <w:jc w:val="center"/>
              <w:rPr>
                <w:rFonts w:eastAsiaTheme="minorEastAsia" w:cs="Times New Roman"/>
                <w:color w:val="000000"/>
                <w:sz w:val="22"/>
                <w:szCs w:val="22"/>
              </w:rPr>
            </w:pPr>
            <w:r w:rsidRPr="001207DF">
              <w:rPr>
                <w:rFonts w:cs="Times New Roman"/>
                <w:color w:val="000000" w:themeColor="text1"/>
                <w:sz w:val="22"/>
                <w:szCs w:val="22"/>
              </w:rPr>
              <w:t>2</w:t>
            </w:r>
            <w:r w:rsidR="00070CEA">
              <w:rPr>
                <w:rFonts w:eastAsiaTheme="minorEastAsia" w:cs="Times New Roman" w:hint="eastAsia"/>
                <w:color w:val="000000" w:themeColor="text1"/>
                <w:sz w:val="22"/>
                <w:szCs w:val="22"/>
              </w:rPr>
              <w:t>0</w:t>
            </w:r>
            <w:r w:rsidRPr="001207DF">
              <w:rPr>
                <w:rFonts w:cs="Times New Roman"/>
                <w:color w:val="000000" w:themeColor="text1"/>
                <w:sz w:val="22"/>
                <w:szCs w:val="22"/>
              </w:rPr>
              <w:t>%</w:t>
            </w:r>
          </w:p>
        </w:tc>
        <w:tc>
          <w:tcPr>
            <w:tcW w:w="0" w:type="auto"/>
            <w:tcBorders>
              <w:top w:val="single" w:sz="4" w:space="0" w:color="auto"/>
              <w:left w:val="single" w:sz="12" w:space="0" w:color="auto"/>
              <w:bottom w:val="single" w:sz="4" w:space="0" w:color="auto"/>
              <w:right w:val="single" w:sz="4" w:space="0" w:color="auto"/>
            </w:tcBorders>
            <w:vAlign w:val="center"/>
          </w:tcPr>
          <w:p w14:paraId="663E6A47" w14:textId="7777777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38014FE" w14:textId="7777777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3B1F6AA" w14:textId="2C2E8BB5" w:rsidR="00A20C73" w:rsidRPr="001207DF" w:rsidRDefault="00A20C73" w:rsidP="00A20C73">
            <w:pPr>
              <w:spacing w:line="288" w:lineRule="auto"/>
              <w:rPr>
                <w:rFonts w:eastAsiaTheme="minorEastAsia" w:cs="Times New Roman"/>
                <w:color w:val="000000"/>
                <w:sz w:val="22"/>
                <w:szCs w:val="22"/>
              </w:rPr>
            </w:pPr>
            <w:r w:rsidRPr="001C7620">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3D50BFE9" w14:textId="277ECB46" w:rsidR="00A20C73" w:rsidRPr="001207DF" w:rsidRDefault="00A20C73" w:rsidP="00A20C73">
            <w:pPr>
              <w:spacing w:line="288" w:lineRule="auto"/>
              <w:rPr>
                <w:rFonts w:eastAsiaTheme="minorEastAsia" w:cs="Times New Roman"/>
                <w:color w:val="000000"/>
                <w:sz w:val="22"/>
                <w:szCs w:val="22"/>
              </w:rPr>
            </w:pPr>
            <w:r w:rsidRPr="001C7620">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5DDF138D" w14:textId="7777777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1FDF41E" w14:textId="7777777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68B1252" w14:textId="48095362" w:rsidR="00A20C73" w:rsidRPr="001207DF" w:rsidRDefault="00A20C73" w:rsidP="00A20C73">
            <w:pPr>
              <w:spacing w:line="288" w:lineRule="auto"/>
              <w:rPr>
                <w:rFonts w:eastAsiaTheme="minorEastAsia" w:cs="Times New Roman"/>
                <w:color w:val="000000"/>
                <w:sz w:val="22"/>
                <w:szCs w:val="22"/>
              </w:rPr>
            </w:pPr>
            <w:r w:rsidRPr="00497FED">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704A8B15" w14:textId="6A3B8324" w:rsidR="00A20C73" w:rsidRPr="001207DF" w:rsidRDefault="00A20C73" w:rsidP="00A20C73">
            <w:pPr>
              <w:spacing w:line="288" w:lineRule="auto"/>
              <w:rPr>
                <w:rFonts w:eastAsiaTheme="minorEastAsia" w:cs="Times New Roman"/>
                <w:color w:val="000000"/>
                <w:sz w:val="22"/>
                <w:szCs w:val="22"/>
              </w:rPr>
            </w:pPr>
            <w:r w:rsidRPr="00497FED">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76C6A6C7" w14:textId="3F88DB19" w:rsidR="00A20C73" w:rsidRPr="001207DF" w:rsidRDefault="00A20C73" w:rsidP="00A20C73">
            <w:pPr>
              <w:spacing w:line="288" w:lineRule="auto"/>
              <w:rPr>
                <w:rFonts w:eastAsiaTheme="minorEastAsia" w:cs="Times New Roman"/>
                <w:color w:val="000000"/>
                <w:sz w:val="22"/>
                <w:szCs w:val="22"/>
              </w:rPr>
            </w:pPr>
            <w:r w:rsidRPr="00497FED">
              <w:rPr>
                <w:rFonts w:ascii="Tw Cen MT Condensed Extra Bold" w:eastAsia="等线" w:hAnsi="Tw Cen MT Condensed Extra Bold"/>
                <w:color w:val="000000"/>
                <w:sz w:val="22"/>
                <w:szCs w:val="22"/>
              </w:rPr>
              <w:t>√</w:t>
            </w:r>
          </w:p>
        </w:tc>
        <w:tc>
          <w:tcPr>
            <w:tcW w:w="703" w:type="dxa"/>
            <w:tcBorders>
              <w:top w:val="single" w:sz="4" w:space="0" w:color="auto"/>
              <w:left w:val="single" w:sz="4" w:space="0" w:color="auto"/>
              <w:bottom w:val="single" w:sz="4" w:space="0" w:color="auto"/>
              <w:right w:val="single" w:sz="4" w:space="0" w:color="auto"/>
            </w:tcBorders>
            <w:vAlign w:val="center"/>
          </w:tcPr>
          <w:p w14:paraId="3DF90DC3" w14:textId="77777777" w:rsidR="00A20C73" w:rsidRPr="001207DF" w:rsidRDefault="00A20C73" w:rsidP="00A20C73">
            <w:pPr>
              <w:spacing w:line="288" w:lineRule="auto"/>
              <w:rPr>
                <w:rFonts w:eastAsiaTheme="minorEastAsia" w:cs="Times New Roman"/>
                <w:color w:val="000000"/>
                <w:sz w:val="22"/>
                <w:szCs w:val="22"/>
              </w:rPr>
            </w:pPr>
          </w:p>
        </w:tc>
        <w:tc>
          <w:tcPr>
            <w:tcW w:w="727" w:type="dxa"/>
            <w:tcBorders>
              <w:top w:val="single" w:sz="4" w:space="0" w:color="auto"/>
              <w:left w:val="single" w:sz="4" w:space="0" w:color="auto"/>
              <w:bottom w:val="single" w:sz="4" w:space="0" w:color="auto"/>
              <w:right w:val="single" w:sz="18" w:space="0" w:color="auto"/>
            </w:tcBorders>
            <w:vAlign w:val="center"/>
          </w:tcPr>
          <w:p w14:paraId="1691DA38" w14:textId="77777777" w:rsidR="00A20C73" w:rsidRPr="001207DF" w:rsidRDefault="00A20C73" w:rsidP="00A20C73">
            <w:pPr>
              <w:spacing w:line="288" w:lineRule="auto"/>
              <w:rPr>
                <w:rFonts w:eastAsiaTheme="minorEastAsia" w:cs="Times New Roman"/>
                <w:color w:val="000000"/>
                <w:sz w:val="22"/>
                <w:szCs w:val="22"/>
              </w:rPr>
            </w:pPr>
          </w:p>
        </w:tc>
      </w:tr>
      <w:tr w:rsidR="00A20C73" w:rsidRPr="001207DF" w14:paraId="62B8A598" w14:textId="77777777" w:rsidTr="002470A3">
        <w:trPr>
          <w:jc w:val="center"/>
        </w:trPr>
        <w:tc>
          <w:tcPr>
            <w:tcW w:w="1619" w:type="dxa"/>
            <w:tcBorders>
              <w:top w:val="single" w:sz="4" w:space="0" w:color="auto"/>
              <w:left w:val="single" w:sz="18" w:space="0" w:color="auto"/>
              <w:bottom w:val="single" w:sz="18" w:space="0" w:color="auto"/>
              <w:right w:val="single" w:sz="4" w:space="0" w:color="auto"/>
            </w:tcBorders>
            <w:hideMark/>
          </w:tcPr>
          <w:p w14:paraId="1FDB2D48" w14:textId="0AF4AF0D" w:rsidR="00A20C73" w:rsidRPr="008C2B3D" w:rsidRDefault="00A20C73" w:rsidP="00A20C73">
            <w:pPr>
              <w:spacing w:line="288" w:lineRule="auto"/>
              <w:jc w:val="left"/>
              <w:rPr>
                <w:rFonts w:eastAsiaTheme="minorEastAsia" w:cs="Times New Roman"/>
                <w:color w:val="000000"/>
                <w:sz w:val="22"/>
                <w:szCs w:val="22"/>
              </w:rPr>
            </w:pPr>
            <w:r w:rsidRPr="001207DF">
              <w:rPr>
                <w:rFonts w:cs="Times New Roman"/>
                <w:color w:val="000000" w:themeColor="text1"/>
                <w:sz w:val="22"/>
                <w:szCs w:val="22"/>
              </w:rPr>
              <w:t xml:space="preserve">Group </w:t>
            </w:r>
            <w:r w:rsidR="008C2B3D">
              <w:rPr>
                <w:rFonts w:eastAsiaTheme="minorEastAsia" w:cs="Times New Roman" w:hint="eastAsia"/>
                <w:color w:val="000000" w:themeColor="text1"/>
                <w:sz w:val="22"/>
                <w:szCs w:val="22"/>
              </w:rPr>
              <w:t>Research Project</w:t>
            </w:r>
          </w:p>
        </w:tc>
        <w:tc>
          <w:tcPr>
            <w:tcW w:w="846" w:type="dxa"/>
            <w:tcBorders>
              <w:top w:val="single" w:sz="4" w:space="0" w:color="auto"/>
              <w:left w:val="single" w:sz="4" w:space="0" w:color="auto"/>
              <w:bottom w:val="single" w:sz="18" w:space="0" w:color="auto"/>
              <w:right w:val="single" w:sz="12" w:space="0" w:color="auto"/>
            </w:tcBorders>
            <w:hideMark/>
          </w:tcPr>
          <w:p w14:paraId="3664ED69" w14:textId="10800BB8" w:rsidR="00A20C73" w:rsidRPr="001207DF" w:rsidRDefault="00070CEA" w:rsidP="00A20C73">
            <w:pPr>
              <w:spacing w:line="288" w:lineRule="auto"/>
              <w:jc w:val="center"/>
              <w:rPr>
                <w:rFonts w:eastAsiaTheme="minorEastAsia" w:cs="Times New Roman"/>
                <w:color w:val="000000"/>
                <w:sz w:val="22"/>
                <w:szCs w:val="22"/>
              </w:rPr>
            </w:pPr>
            <w:r>
              <w:rPr>
                <w:rFonts w:eastAsiaTheme="minorEastAsia" w:cs="Times New Roman" w:hint="eastAsia"/>
                <w:color w:val="000000" w:themeColor="text1"/>
                <w:sz w:val="22"/>
                <w:szCs w:val="22"/>
              </w:rPr>
              <w:t>40</w:t>
            </w:r>
            <w:r w:rsidR="00A20C73" w:rsidRPr="001207DF">
              <w:rPr>
                <w:rFonts w:cs="Times New Roman"/>
                <w:color w:val="000000" w:themeColor="text1"/>
                <w:sz w:val="22"/>
                <w:szCs w:val="22"/>
              </w:rPr>
              <w:t>%</w:t>
            </w:r>
          </w:p>
        </w:tc>
        <w:tc>
          <w:tcPr>
            <w:tcW w:w="0" w:type="auto"/>
            <w:tcBorders>
              <w:top w:val="single" w:sz="4" w:space="0" w:color="auto"/>
              <w:left w:val="single" w:sz="12" w:space="0" w:color="auto"/>
              <w:bottom w:val="single" w:sz="18" w:space="0" w:color="auto"/>
              <w:right w:val="single" w:sz="4" w:space="0" w:color="auto"/>
            </w:tcBorders>
            <w:vAlign w:val="center"/>
          </w:tcPr>
          <w:p w14:paraId="58F4AF35" w14:textId="77777777" w:rsidR="00A20C73" w:rsidRPr="001207DF" w:rsidRDefault="00A20C73" w:rsidP="00A20C73">
            <w:pPr>
              <w:spacing w:line="288" w:lineRule="auto"/>
              <w:rPr>
                <w:rFonts w:eastAsiaTheme="minorEastAsia" w:cs="Times New Roman"/>
                <w:color w:val="000000"/>
                <w:sz w:val="22"/>
                <w:szCs w:val="22"/>
              </w:rPr>
            </w:pPr>
            <w:r w:rsidRPr="001207DF">
              <w:rPr>
                <w:rFonts w:eastAsiaTheme="minorEastAsia" w:cs="Times New Roman"/>
                <w:color w:val="000000"/>
                <w:sz w:val="22"/>
                <w:szCs w:val="22"/>
              </w:rPr>
              <w:t> </w:t>
            </w:r>
          </w:p>
        </w:tc>
        <w:tc>
          <w:tcPr>
            <w:tcW w:w="0" w:type="auto"/>
            <w:tcBorders>
              <w:top w:val="single" w:sz="4" w:space="0" w:color="auto"/>
              <w:left w:val="single" w:sz="4" w:space="0" w:color="auto"/>
              <w:bottom w:val="single" w:sz="18" w:space="0" w:color="auto"/>
              <w:right w:val="single" w:sz="4" w:space="0" w:color="auto"/>
            </w:tcBorders>
            <w:vAlign w:val="center"/>
          </w:tcPr>
          <w:p w14:paraId="3DF26AD5" w14:textId="7777777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4" w:space="0" w:color="auto"/>
              <w:left w:val="single" w:sz="4" w:space="0" w:color="auto"/>
              <w:bottom w:val="single" w:sz="18" w:space="0" w:color="auto"/>
              <w:right w:val="single" w:sz="4" w:space="0" w:color="auto"/>
            </w:tcBorders>
            <w:vAlign w:val="center"/>
            <w:hideMark/>
          </w:tcPr>
          <w:p w14:paraId="17F93A68" w14:textId="289EE339" w:rsidR="00A20C73" w:rsidRPr="001207DF" w:rsidRDefault="00A20C73" w:rsidP="00A20C73">
            <w:pPr>
              <w:spacing w:line="288" w:lineRule="auto"/>
              <w:rPr>
                <w:rFonts w:eastAsiaTheme="minorEastAsia" w:cs="Times New Roman"/>
                <w:color w:val="000000"/>
                <w:sz w:val="22"/>
                <w:szCs w:val="22"/>
              </w:rPr>
            </w:pPr>
            <w:r w:rsidRPr="004F1B25">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18" w:space="0" w:color="auto"/>
              <w:right w:val="single" w:sz="4" w:space="0" w:color="auto"/>
            </w:tcBorders>
            <w:vAlign w:val="center"/>
          </w:tcPr>
          <w:p w14:paraId="4F427721" w14:textId="2C057354" w:rsidR="00A20C73" w:rsidRPr="001207DF" w:rsidRDefault="00A20C73" w:rsidP="00A20C73">
            <w:pPr>
              <w:spacing w:line="288" w:lineRule="auto"/>
              <w:rPr>
                <w:rFonts w:eastAsiaTheme="minorEastAsia" w:cs="Times New Roman"/>
                <w:color w:val="000000"/>
                <w:sz w:val="22"/>
                <w:szCs w:val="22"/>
              </w:rPr>
            </w:pPr>
            <w:r w:rsidRPr="004F1B25">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18" w:space="0" w:color="auto"/>
              <w:right w:val="single" w:sz="4" w:space="0" w:color="auto"/>
            </w:tcBorders>
            <w:vAlign w:val="center"/>
          </w:tcPr>
          <w:p w14:paraId="43E1148A" w14:textId="3BFA6A81" w:rsidR="00A20C73" w:rsidRPr="001207DF" w:rsidRDefault="00A20C73" w:rsidP="00A20C73">
            <w:pPr>
              <w:spacing w:line="288" w:lineRule="auto"/>
              <w:rPr>
                <w:rFonts w:eastAsiaTheme="minorEastAsia" w:cs="Times New Roman"/>
                <w:color w:val="000000"/>
                <w:sz w:val="22"/>
                <w:szCs w:val="22"/>
              </w:rPr>
            </w:pPr>
            <w:r>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18" w:space="0" w:color="auto"/>
              <w:right w:val="single" w:sz="4" w:space="0" w:color="auto"/>
            </w:tcBorders>
            <w:vAlign w:val="center"/>
          </w:tcPr>
          <w:p w14:paraId="2CDDCD06" w14:textId="7FD95997" w:rsidR="00A20C73" w:rsidRPr="001207DF" w:rsidRDefault="00A20C73" w:rsidP="00A20C73">
            <w:pPr>
              <w:spacing w:line="288" w:lineRule="auto"/>
              <w:rPr>
                <w:rFonts w:eastAsiaTheme="minorEastAsia" w:cs="Times New Roman"/>
                <w:color w:val="000000"/>
                <w:sz w:val="22"/>
                <w:szCs w:val="22"/>
              </w:rPr>
            </w:pPr>
          </w:p>
        </w:tc>
        <w:tc>
          <w:tcPr>
            <w:tcW w:w="0" w:type="auto"/>
            <w:tcBorders>
              <w:top w:val="single" w:sz="4" w:space="0" w:color="auto"/>
              <w:left w:val="single" w:sz="4" w:space="0" w:color="auto"/>
              <w:bottom w:val="single" w:sz="18" w:space="0" w:color="auto"/>
              <w:right w:val="single" w:sz="4" w:space="0" w:color="auto"/>
            </w:tcBorders>
            <w:vAlign w:val="center"/>
          </w:tcPr>
          <w:p w14:paraId="540F1F51" w14:textId="0B721132" w:rsidR="00A20C73" w:rsidRPr="001207DF" w:rsidRDefault="00A20C73" w:rsidP="00A20C73">
            <w:pPr>
              <w:spacing w:line="288" w:lineRule="auto"/>
              <w:rPr>
                <w:rFonts w:eastAsiaTheme="minorEastAsia" w:cs="Times New Roman"/>
                <w:color w:val="000000"/>
                <w:sz w:val="22"/>
                <w:szCs w:val="22"/>
              </w:rPr>
            </w:pPr>
            <w:r w:rsidRPr="000A6210">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18" w:space="0" w:color="auto"/>
              <w:right w:val="single" w:sz="4" w:space="0" w:color="auto"/>
            </w:tcBorders>
            <w:vAlign w:val="center"/>
            <w:hideMark/>
          </w:tcPr>
          <w:p w14:paraId="633152D8" w14:textId="52FA49F5" w:rsidR="00A20C73" w:rsidRPr="001207DF" w:rsidRDefault="00A20C73" w:rsidP="00A20C73">
            <w:pPr>
              <w:spacing w:line="288" w:lineRule="auto"/>
              <w:rPr>
                <w:rFonts w:eastAsiaTheme="minorEastAsia" w:cs="Times New Roman"/>
                <w:color w:val="000000"/>
                <w:sz w:val="22"/>
                <w:szCs w:val="22"/>
              </w:rPr>
            </w:pPr>
            <w:r w:rsidRPr="000A6210">
              <w:rPr>
                <w:rFonts w:ascii="Tw Cen MT Condensed Extra Bold" w:eastAsia="等线" w:hAnsi="Tw Cen MT Condensed Extra Bold"/>
                <w:color w:val="000000"/>
                <w:sz w:val="22"/>
                <w:szCs w:val="22"/>
              </w:rPr>
              <w:t>√</w:t>
            </w:r>
          </w:p>
        </w:tc>
        <w:tc>
          <w:tcPr>
            <w:tcW w:w="0" w:type="auto"/>
            <w:tcBorders>
              <w:top w:val="single" w:sz="4" w:space="0" w:color="auto"/>
              <w:left w:val="single" w:sz="4" w:space="0" w:color="auto"/>
              <w:bottom w:val="single" w:sz="18" w:space="0" w:color="auto"/>
              <w:right w:val="single" w:sz="4" w:space="0" w:color="auto"/>
            </w:tcBorders>
            <w:vAlign w:val="center"/>
          </w:tcPr>
          <w:p w14:paraId="7644224D" w14:textId="3C7856D5" w:rsidR="00A20C73" w:rsidRPr="001207DF" w:rsidRDefault="00A20C73" w:rsidP="00A20C73">
            <w:pPr>
              <w:spacing w:line="288" w:lineRule="auto"/>
              <w:rPr>
                <w:rFonts w:eastAsiaTheme="minorEastAsia" w:cs="Times New Roman"/>
                <w:color w:val="000000"/>
                <w:sz w:val="22"/>
                <w:szCs w:val="22"/>
              </w:rPr>
            </w:pPr>
            <w:r w:rsidRPr="000A6210">
              <w:rPr>
                <w:rFonts w:ascii="Tw Cen MT Condensed Extra Bold" w:eastAsia="等线" w:hAnsi="Tw Cen MT Condensed Extra Bold"/>
                <w:color w:val="000000"/>
                <w:sz w:val="22"/>
                <w:szCs w:val="22"/>
              </w:rPr>
              <w:t>√</w:t>
            </w:r>
          </w:p>
        </w:tc>
        <w:tc>
          <w:tcPr>
            <w:tcW w:w="703" w:type="dxa"/>
            <w:tcBorders>
              <w:top w:val="single" w:sz="4" w:space="0" w:color="auto"/>
              <w:left w:val="single" w:sz="4" w:space="0" w:color="auto"/>
              <w:bottom w:val="single" w:sz="18" w:space="0" w:color="auto"/>
              <w:right w:val="single" w:sz="4" w:space="0" w:color="auto"/>
            </w:tcBorders>
            <w:vAlign w:val="center"/>
          </w:tcPr>
          <w:p w14:paraId="2EE4CB26" w14:textId="26E4556D" w:rsidR="00A20C73" w:rsidRPr="001207DF" w:rsidRDefault="00A20C73" w:rsidP="00A20C73">
            <w:pPr>
              <w:spacing w:line="288" w:lineRule="auto"/>
              <w:rPr>
                <w:rFonts w:eastAsiaTheme="minorEastAsia" w:cs="Times New Roman"/>
                <w:color w:val="000000"/>
                <w:sz w:val="22"/>
                <w:szCs w:val="22"/>
              </w:rPr>
            </w:pPr>
          </w:p>
        </w:tc>
        <w:tc>
          <w:tcPr>
            <w:tcW w:w="727" w:type="dxa"/>
            <w:tcBorders>
              <w:top w:val="single" w:sz="4" w:space="0" w:color="auto"/>
              <w:left w:val="single" w:sz="4" w:space="0" w:color="auto"/>
              <w:bottom w:val="single" w:sz="18" w:space="0" w:color="auto"/>
              <w:right w:val="single" w:sz="18" w:space="0" w:color="auto"/>
            </w:tcBorders>
            <w:vAlign w:val="center"/>
          </w:tcPr>
          <w:p w14:paraId="1A524F4B" w14:textId="5AA42ACE" w:rsidR="00A20C73" w:rsidRPr="001207DF" w:rsidRDefault="00A20C73" w:rsidP="00A20C73">
            <w:pPr>
              <w:spacing w:line="288" w:lineRule="auto"/>
              <w:rPr>
                <w:rFonts w:eastAsiaTheme="minorEastAsia" w:cs="Times New Roman"/>
                <w:color w:val="000000"/>
                <w:sz w:val="22"/>
                <w:szCs w:val="22"/>
              </w:rPr>
            </w:pPr>
            <w:r>
              <w:rPr>
                <w:rFonts w:ascii="Tw Cen MT Condensed Extra Bold" w:eastAsia="等线" w:hAnsi="Tw Cen MT Condensed Extra Bold"/>
                <w:color w:val="000000"/>
                <w:sz w:val="22"/>
                <w:szCs w:val="22"/>
              </w:rPr>
              <w:t>√</w:t>
            </w:r>
          </w:p>
        </w:tc>
      </w:tr>
    </w:tbl>
    <w:p w14:paraId="60B59EA5" w14:textId="5BB29C9C" w:rsidR="00A900C1" w:rsidRPr="001207DF" w:rsidRDefault="004B50CC" w:rsidP="00A900C1">
      <w:pPr>
        <w:spacing w:line="276" w:lineRule="auto"/>
        <w:outlineLvl w:val="0"/>
        <w:rPr>
          <w:b/>
          <w:sz w:val="22"/>
          <w:szCs w:val="22"/>
        </w:rPr>
      </w:pPr>
      <w:r w:rsidRPr="004B50CC">
        <w:rPr>
          <w:color w:val="000000"/>
          <w:sz w:val="20"/>
          <w:szCs w:val="20"/>
        </w:rPr>
        <w:t>Note: (1) Participation and contribution (</w:t>
      </w:r>
      <w:r w:rsidR="00AF0258">
        <w:rPr>
          <w:rFonts w:hint="eastAsia"/>
          <w:color w:val="000000"/>
          <w:sz w:val="20"/>
          <w:szCs w:val="20"/>
        </w:rPr>
        <w:t>1</w:t>
      </w:r>
      <w:r w:rsidRPr="004B50CC">
        <w:rPr>
          <w:color w:val="000000"/>
          <w:sz w:val="20"/>
          <w:szCs w:val="20"/>
        </w:rPr>
        <w:t>0%): assessed through preparation, attendance, class presentations, group assignment cooperation (peer-evaluated), and adherence to instructor expectations; (2) Group debating (</w:t>
      </w:r>
      <w:r w:rsidR="00AF0258">
        <w:rPr>
          <w:rFonts w:hint="eastAsia"/>
          <w:color w:val="000000"/>
          <w:sz w:val="20"/>
          <w:szCs w:val="20"/>
        </w:rPr>
        <w:t>1</w:t>
      </w:r>
      <w:r w:rsidRPr="004B50CC">
        <w:rPr>
          <w:color w:val="000000"/>
          <w:sz w:val="20"/>
          <w:szCs w:val="20"/>
        </w:rPr>
        <w:t>0%)</w:t>
      </w:r>
      <w:r w:rsidR="007C0328">
        <w:rPr>
          <w:rFonts w:hint="eastAsia"/>
          <w:color w:val="000000"/>
          <w:sz w:val="20"/>
          <w:szCs w:val="20"/>
        </w:rPr>
        <w:t xml:space="preserve"> and group research presentations (20%);</w:t>
      </w:r>
      <w:r w:rsidRPr="004B50CC">
        <w:rPr>
          <w:color w:val="000000"/>
          <w:sz w:val="20"/>
          <w:szCs w:val="20"/>
        </w:rPr>
        <w:t xml:space="preserve"> (3) Group case analysis (20%): assessed through timely submission of written analysis and in-class presentation of key arguments; (4) Group research p</w:t>
      </w:r>
      <w:r w:rsidR="007C0328">
        <w:rPr>
          <w:rFonts w:hint="eastAsia"/>
          <w:color w:val="000000"/>
          <w:sz w:val="20"/>
          <w:szCs w:val="20"/>
        </w:rPr>
        <w:t xml:space="preserve">roject </w:t>
      </w:r>
      <w:r w:rsidRPr="004B50CC">
        <w:rPr>
          <w:color w:val="000000"/>
          <w:sz w:val="20"/>
          <w:szCs w:val="20"/>
        </w:rPr>
        <w:t>(40%): comprises written report (20%) and oral presentation (20%).</w:t>
      </w:r>
      <w:r w:rsidR="00A900C1" w:rsidRPr="001207DF">
        <w:rPr>
          <w:color w:val="000000"/>
          <w:sz w:val="20"/>
          <w:szCs w:val="20"/>
        </w:rPr>
        <w:t xml:space="preserve"> </w:t>
      </w:r>
    </w:p>
    <w:p w14:paraId="04CA420D" w14:textId="57D73E41" w:rsidR="002E58A3" w:rsidRPr="00303AD4" w:rsidRDefault="002E58A3" w:rsidP="0018400A">
      <w:pPr>
        <w:spacing w:before="240" w:line="360" w:lineRule="auto"/>
        <w:rPr>
          <w:rFonts w:eastAsia="黑体"/>
          <w:b/>
          <w:sz w:val="22"/>
          <w:szCs w:val="22"/>
        </w:rPr>
      </w:pPr>
      <w:r w:rsidRPr="00303AD4">
        <w:rPr>
          <w:rFonts w:eastAsia="黑体"/>
          <w:b/>
          <w:sz w:val="22"/>
          <w:szCs w:val="22"/>
        </w:rPr>
        <w:t xml:space="preserve">Useful </w:t>
      </w:r>
      <w:r w:rsidR="000F2700" w:rsidRPr="00303AD4">
        <w:rPr>
          <w:rFonts w:eastAsia="黑体"/>
          <w:b/>
          <w:sz w:val="22"/>
          <w:szCs w:val="22"/>
        </w:rPr>
        <w:t>W</w:t>
      </w:r>
      <w:r w:rsidRPr="00303AD4">
        <w:rPr>
          <w:rFonts w:eastAsia="黑体"/>
          <w:b/>
          <w:sz w:val="22"/>
          <w:szCs w:val="22"/>
        </w:rPr>
        <w:t>ebsite</w:t>
      </w:r>
      <w:r w:rsidRPr="00303AD4">
        <w:rPr>
          <w:rFonts w:eastAsia="黑体"/>
          <w:b/>
          <w:sz w:val="22"/>
          <w:szCs w:val="22"/>
        </w:rPr>
        <w:tab/>
      </w:r>
    </w:p>
    <w:p w14:paraId="5E549076" w14:textId="77777777" w:rsidR="002E58A3" w:rsidRPr="00303AD4" w:rsidRDefault="002E58A3" w:rsidP="002E58A3">
      <w:pPr>
        <w:pStyle w:val="a9"/>
        <w:numPr>
          <w:ilvl w:val="0"/>
          <w:numId w:val="11"/>
        </w:numPr>
        <w:ind w:firstLineChars="0"/>
        <w:jc w:val="left"/>
        <w:outlineLvl w:val="0"/>
        <w:rPr>
          <w:rFonts w:ascii="Times New Roman" w:hAnsi="Times New Roman"/>
          <w:sz w:val="22"/>
        </w:rPr>
      </w:pPr>
      <w:r w:rsidRPr="00303AD4">
        <w:rPr>
          <w:rFonts w:ascii="Times New Roman" w:hAnsi="Times New Roman"/>
          <w:sz w:val="22"/>
        </w:rPr>
        <w:lastRenderedPageBreak/>
        <w:t>IFRS (</w:t>
      </w:r>
      <w:hyperlink r:id="rId8" w:history="1">
        <w:r w:rsidRPr="00303AD4">
          <w:rPr>
            <w:rFonts w:ascii="Times New Roman" w:hAnsi="Times New Roman"/>
            <w:sz w:val="22"/>
          </w:rPr>
          <w:t>www.ifrs.org</w:t>
        </w:r>
      </w:hyperlink>
      <w:r w:rsidRPr="00303AD4">
        <w:rPr>
          <w:rFonts w:ascii="Times New Roman" w:hAnsi="Times New Roman"/>
          <w:sz w:val="22"/>
        </w:rPr>
        <w:t>)</w:t>
      </w:r>
    </w:p>
    <w:p w14:paraId="6D36F15B" w14:textId="77777777" w:rsidR="002E58A3" w:rsidRPr="00303AD4" w:rsidRDefault="002E58A3" w:rsidP="002E58A3">
      <w:pPr>
        <w:pStyle w:val="a9"/>
        <w:numPr>
          <w:ilvl w:val="0"/>
          <w:numId w:val="11"/>
        </w:numPr>
        <w:ind w:firstLineChars="0"/>
        <w:jc w:val="left"/>
        <w:outlineLvl w:val="0"/>
        <w:rPr>
          <w:rFonts w:ascii="Times New Roman" w:hAnsi="Times New Roman"/>
          <w:sz w:val="22"/>
        </w:rPr>
      </w:pPr>
      <w:r w:rsidRPr="00303AD4">
        <w:rPr>
          <w:rFonts w:ascii="Times New Roman" w:hAnsi="Times New Roman"/>
          <w:sz w:val="22"/>
        </w:rPr>
        <w:t>Chinese Accounting Standards for Business Enterprises (</w:t>
      </w:r>
      <w:hyperlink r:id="rId9" w:history="1">
        <w:r w:rsidRPr="00303AD4">
          <w:rPr>
            <w:rFonts w:ascii="Times New Roman" w:hAnsi="Times New Roman"/>
            <w:sz w:val="22"/>
          </w:rPr>
          <w:t>http://www.casc.org.cn</w:t>
        </w:r>
      </w:hyperlink>
      <w:r w:rsidRPr="00303AD4">
        <w:rPr>
          <w:rFonts w:ascii="Times New Roman" w:hAnsi="Times New Roman"/>
          <w:sz w:val="22"/>
        </w:rPr>
        <w:t>)</w:t>
      </w:r>
    </w:p>
    <w:p w14:paraId="6FD61EE0" w14:textId="3A705EDC" w:rsidR="002E58A3" w:rsidRPr="00303AD4" w:rsidRDefault="008E4A64" w:rsidP="002E58A3">
      <w:pPr>
        <w:pStyle w:val="a9"/>
        <w:numPr>
          <w:ilvl w:val="0"/>
          <w:numId w:val="11"/>
        </w:numPr>
        <w:ind w:firstLineChars="0"/>
        <w:jc w:val="left"/>
        <w:outlineLvl w:val="0"/>
        <w:rPr>
          <w:rFonts w:ascii="Times New Roman" w:hAnsi="Times New Roman"/>
          <w:sz w:val="22"/>
        </w:rPr>
      </w:pPr>
      <w:r w:rsidRPr="00303AD4">
        <w:rPr>
          <w:rFonts w:ascii="Times New Roman" w:hAnsi="Times New Roman"/>
          <w:sz w:val="22"/>
        </w:rPr>
        <w:t>US GAAP</w:t>
      </w:r>
      <w:r w:rsidR="002E58A3" w:rsidRPr="00303AD4">
        <w:rPr>
          <w:rFonts w:ascii="Times New Roman" w:hAnsi="Times New Roman"/>
          <w:sz w:val="22"/>
        </w:rPr>
        <w:t xml:space="preserve"> (</w:t>
      </w:r>
      <w:hyperlink r:id="rId10" w:history="1">
        <w:r w:rsidR="002E58A3" w:rsidRPr="00303AD4">
          <w:rPr>
            <w:rFonts w:ascii="Times New Roman" w:hAnsi="Times New Roman"/>
            <w:sz w:val="22"/>
          </w:rPr>
          <w:t>https://asc.fasb.org</w:t>
        </w:r>
      </w:hyperlink>
      <w:r w:rsidR="002E58A3" w:rsidRPr="00303AD4">
        <w:rPr>
          <w:rFonts w:ascii="Times New Roman" w:hAnsi="Times New Roman"/>
          <w:sz w:val="22"/>
        </w:rPr>
        <w:t>)</w:t>
      </w:r>
    </w:p>
    <w:p w14:paraId="2E589CCE" w14:textId="478114EB" w:rsidR="0087372D" w:rsidRPr="00303AD4" w:rsidRDefault="0087372D" w:rsidP="0018400A">
      <w:pPr>
        <w:spacing w:before="240" w:line="360" w:lineRule="auto"/>
        <w:rPr>
          <w:b/>
          <w:sz w:val="22"/>
          <w:szCs w:val="22"/>
        </w:rPr>
      </w:pPr>
      <w:r w:rsidRPr="00303AD4">
        <w:rPr>
          <w:rFonts w:eastAsia="黑体"/>
          <w:b/>
          <w:sz w:val="22"/>
          <w:szCs w:val="22"/>
        </w:rPr>
        <w:t>R</w:t>
      </w:r>
      <w:r w:rsidRPr="00303AD4">
        <w:rPr>
          <w:b/>
          <w:sz w:val="22"/>
          <w:szCs w:val="22"/>
        </w:rPr>
        <w:t xml:space="preserve">eference </w:t>
      </w:r>
      <w:r w:rsidR="000F2700" w:rsidRPr="00303AD4">
        <w:rPr>
          <w:b/>
          <w:sz w:val="22"/>
          <w:szCs w:val="22"/>
        </w:rPr>
        <w:t>B</w:t>
      </w:r>
      <w:r w:rsidRPr="00303AD4">
        <w:rPr>
          <w:b/>
          <w:sz w:val="22"/>
          <w:szCs w:val="22"/>
        </w:rPr>
        <w:t>ook</w:t>
      </w:r>
    </w:p>
    <w:p w14:paraId="69C76C91" w14:textId="17602C38" w:rsidR="00504BA2" w:rsidRPr="00504BA2" w:rsidRDefault="0087372D" w:rsidP="0018400A">
      <w:pPr>
        <w:jc w:val="left"/>
        <w:outlineLvl w:val="0"/>
        <w:rPr>
          <w:szCs w:val="21"/>
        </w:rPr>
      </w:pPr>
      <w:r w:rsidRPr="00F4383E">
        <w:rPr>
          <w:sz w:val="22"/>
        </w:rPr>
        <w:t>Christopher Nobes, Robert Parker Comparative International Accounting. Prentice Hall (</w:t>
      </w:r>
      <w:r w:rsidRPr="00F4383E">
        <w:rPr>
          <w:sz w:val="22"/>
        </w:rPr>
        <w:t>《比较国际会计》，东北财经大学出版社</w:t>
      </w:r>
      <w:r w:rsidRPr="00F4383E">
        <w:rPr>
          <w:sz w:val="22"/>
        </w:rPr>
        <w:t>)</w:t>
      </w:r>
    </w:p>
    <w:sectPr w:rsidR="00504BA2" w:rsidRPr="00504BA2" w:rsidSect="005762EF">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1A350" w14:textId="77777777" w:rsidR="00263361" w:rsidRDefault="00263361" w:rsidP="0099089D">
      <w:r>
        <w:separator/>
      </w:r>
    </w:p>
  </w:endnote>
  <w:endnote w:type="continuationSeparator" w:id="0">
    <w:p w14:paraId="72F95A40" w14:textId="77777777" w:rsidR="00263361" w:rsidRDefault="00263361" w:rsidP="00990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w Cen MT Condensed Extra Bold">
    <w:panose1 w:val="020B0803020202020204"/>
    <w:charset w:val="00"/>
    <w:family w:val="swiss"/>
    <w:pitch w:val="variable"/>
    <w:sig w:usb0="00000007" w:usb1="00000000" w:usb2="00000000" w:usb3="00000000" w:csb0="00000003"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528381"/>
      <w:docPartObj>
        <w:docPartGallery w:val="Page Numbers (Bottom of Page)"/>
        <w:docPartUnique/>
      </w:docPartObj>
    </w:sdtPr>
    <w:sdtContent>
      <w:p w14:paraId="4FDE59C6" w14:textId="0DB4C877" w:rsidR="00C86846" w:rsidRDefault="00C86846">
        <w:pPr>
          <w:pStyle w:val="a6"/>
          <w:jc w:val="right"/>
        </w:pPr>
        <w:r>
          <w:fldChar w:fldCharType="begin"/>
        </w:r>
        <w:r>
          <w:instrText>PAGE   \* MERGEFORMAT</w:instrText>
        </w:r>
        <w:r>
          <w:fldChar w:fldCharType="separate"/>
        </w:r>
        <w:r>
          <w:rPr>
            <w:lang w:val="zh-CN"/>
          </w:rPr>
          <w:t>2</w:t>
        </w:r>
        <w:r>
          <w:fldChar w:fldCharType="end"/>
        </w:r>
      </w:p>
    </w:sdtContent>
  </w:sdt>
  <w:p w14:paraId="5383DBE8" w14:textId="77777777" w:rsidR="00C86846" w:rsidRDefault="00C8684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08437" w14:textId="77777777" w:rsidR="00263361" w:rsidRDefault="00263361" w:rsidP="0099089D">
      <w:r>
        <w:separator/>
      </w:r>
    </w:p>
  </w:footnote>
  <w:footnote w:type="continuationSeparator" w:id="0">
    <w:p w14:paraId="273A3540" w14:textId="77777777" w:rsidR="00263361" w:rsidRDefault="00263361" w:rsidP="00990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0C88"/>
    <w:multiLevelType w:val="hybridMultilevel"/>
    <w:tmpl w:val="C158D12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0AF41B4"/>
    <w:multiLevelType w:val="hybridMultilevel"/>
    <w:tmpl w:val="9634D726"/>
    <w:lvl w:ilvl="0" w:tplc="5E4E66A0">
      <w:start w:val="1"/>
      <w:numFmt w:val="bullet"/>
      <w:lvlText w:val="•"/>
      <w:lvlJc w:val="left"/>
      <w:pPr>
        <w:tabs>
          <w:tab w:val="num" w:pos="720"/>
        </w:tabs>
        <w:ind w:left="720" w:hanging="360"/>
      </w:pPr>
      <w:rPr>
        <w:rFonts w:ascii="Arial" w:hAnsi="Arial" w:hint="default"/>
      </w:rPr>
    </w:lvl>
    <w:lvl w:ilvl="1" w:tplc="67A24B06" w:tentative="1">
      <w:start w:val="1"/>
      <w:numFmt w:val="bullet"/>
      <w:lvlText w:val="•"/>
      <w:lvlJc w:val="left"/>
      <w:pPr>
        <w:tabs>
          <w:tab w:val="num" w:pos="1440"/>
        </w:tabs>
        <w:ind w:left="1440" w:hanging="360"/>
      </w:pPr>
      <w:rPr>
        <w:rFonts w:ascii="Arial" w:hAnsi="Arial" w:hint="default"/>
      </w:rPr>
    </w:lvl>
    <w:lvl w:ilvl="2" w:tplc="93967774" w:tentative="1">
      <w:start w:val="1"/>
      <w:numFmt w:val="bullet"/>
      <w:lvlText w:val="•"/>
      <w:lvlJc w:val="left"/>
      <w:pPr>
        <w:tabs>
          <w:tab w:val="num" w:pos="2160"/>
        </w:tabs>
        <w:ind w:left="2160" w:hanging="360"/>
      </w:pPr>
      <w:rPr>
        <w:rFonts w:ascii="Arial" w:hAnsi="Arial" w:hint="default"/>
      </w:rPr>
    </w:lvl>
    <w:lvl w:ilvl="3" w:tplc="26562344" w:tentative="1">
      <w:start w:val="1"/>
      <w:numFmt w:val="bullet"/>
      <w:lvlText w:val="•"/>
      <w:lvlJc w:val="left"/>
      <w:pPr>
        <w:tabs>
          <w:tab w:val="num" w:pos="2880"/>
        </w:tabs>
        <w:ind w:left="2880" w:hanging="360"/>
      </w:pPr>
      <w:rPr>
        <w:rFonts w:ascii="Arial" w:hAnsi="Arial" w:hint="default"/>
      </w:rPr>
    </w:lvl>
    <w:lvl w:ilvl="4" w:tplc="2D6E3B2E" w:tentative="1">
      <w:start w:val="1"/>
      <w:numFmt w:val="bullet"/>
      <w:lvlText w:val="•"/>
      <w:lvlJc w:val="left"/>
      <w:pPr>
        <w:tabs>
          <w:tab w:val="num" w:pos="3600"/>
        </w:tabs>
        <w:ind w:left="3600" w:hanging="360"/>
      </w:pPr>
      <w:rPr>
        <w:rFonts w:ascii="Arial" w:hAnsi="Arial" w:hint="default"/>
      </w:rPr>
    </w:lvl>
    <w:lvl w:ilvl="5" w:tplc="CFFC8344" w:tentative="1">
      <w:start w:val="1"/>
      <w:numFmt w:val="bullet"/>
      <w:lvlText w:val="•"/>
      <w:lvlJc w:val="left"/>
      <w:pPr>
        <w:tabs>
          <w:tab w:val="num" w:pos="4320"/>
        </w:tabs>
        <w:ind w:left="4320" w:hanging="360"/>
      </w:pPr>
      <w:rPr>
        <w:rFonts w:ascii="Arial" w:hAnsi="Arial" w:hint="default"/>
      </w:rPr>
    </w:lvl>
    <w:lvl w:ilvl="6" w:tplc="42CC1E54" w:tentative="1">
      <w:start w:val="1"/>
      <w:numFmt w:val="bullet"/>
      <w:lvlText w:val="•"/>
      <w:lvlJc w:val="left"/>
      <w:pPr>
        <w:tabs>
          <w:tab w:val="num" w:pos="5040"/>
        </w:tabs>
        <w:ind w:left="5040" w:hanging="360"/>
      </w:pPr>
      <w:rPr>
        <w:rFonts w:ascii="Arial" w:hAnsi="Arial" w:hint="default"/>
      </w:rPr>
    </w:lvl>
    <w:lvl w:ilvl="7" w:tplc="BE3211D8" w:tentative="1">
      <w:start w:val="1"/>
      <w:numFmt w:val="bullet"/>
      <w:lvlText w:val="•"/>
      <w:lvlJc w:val="left"/>
      <w:pPr>
        <w:tabs>
          <w:tab w:val="num" w:pos="5760"/>
        </w:tabs>
        <w:ind w:left="5760" w:hanging="360"/>
      </w:pPr>
      <w:rPr>
        <w:rFonts w:ascii="Arial" w:hAnsi="Arial" w:hint="default"/>
      </w:rPr>
    </w:lvl>
    <w:lvl w:ilvl="8" w:tplc="DBDAD8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471297B"/>
    <w:multiLevelType w:val="hybridMultilevel"/>
    <w:tmpl w:val="0CC892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DAD01E9"/>
    <w:multiLevelType w:val="hybridMultilevel"/>
    <w:tmpl w:val="E01C1504"/>
    <w:lvl w:ilvl="0" w:tplc="959061D2">
      <w:start w:val="1"/>
      <w:numFmt w:val="bullet"/>
      <w:lvlText w:val="•"/>
      <w:lvlJc w:val="left"/>
      <w:pPr>
        <w:tabs>
          <w:tab w:val="num" w:pos="0"/>
        </w:tabs>
        <w:ind w:left="0" w:hanging="360"/>
      </w:pPr>
      <w:rPr>
        <w:rFonts w:ascii="Arial" w:hAnsi="Arial" w:hint="default"/>
      </w:rPr>
    </w:lvl>
    <w:lvl w:ilvl="1" w:tplc="1DFA68EC">
      <w:start w:val="1"/>
      <w:numFmt w:val="bullet"/>
      <w:lvlText w:val="•"/>
      <w:lvlJc w:val="left"/>
      <w:pPr>
        <w:tabs>
          <w:tab w:val="num" w:pos="720"/>
        </w:tabs>
        <w:ind w:left="720" w:hanging="360"/>
      </w:pPr>
      <w:rPr>
        <w:rFonts w:ascii="Arial" w:hAnsi="Arial" w:hint="default"/>
      </w:rPr>
    </w:lvl>
    <w:lvl w:ilvl="2" w:tplc="B3BCD9A2" w:tentative="1">
      <w:start w:val="1"/>
      <w:numFmt w:val="bullet"/>
      <w:lvlText w:val="•"/>
      <w:lvlJc w:val="left"/>
      <w:pPr>
        <w:tabs>
          <w:tab w:val="num" w:pos="1440"/>
        </w:tabs>
        <w:ind w:left="1440" w:hanging="360"/>
      </w:pPr>
      <w:rPr>
        <w:rFonts w:ascii="Arial" w:hAnsi="Arial" w:hint="default"/>
      </w:rPr>
    </w:lvl>
    <w:lvl w:ilvl="3" w:tplc="AB4E450A" w:tentative="1">
      <w:start w:val="1"/>
      <w:numFmt w:val="bullet"/>
      <w:lvlText w:val="•"/>
      <w:lvlJc w:val="left"/>
      <w:pPr>
        <w:tabs>
          <w:tab w:val="num" w:pos="2160"/>
        </w:tabs>
        <w:ind w:left="2160" w:hanging="360"/>
      </w:pPr>
      <w:rPr>
        <w:rFonts w:ascii="Arial" w:hAnsi="Arial" w:hint="default"/>
      </w:rPr>
    </w:lvl>
    <w:lvl w:ilvl="4" w:tplc="1174CD3A" w:tentative="1">
      <w:start w:val="1"/>
      <w:numFmt w:val="bullet"/>
      <w:lvlText w:val="•"/>
      <w:lvlJc w:val="left"/>
      <w:pPr>
        <w:tabs>
          <w:tab w:val="num" w:pos="2880"/>
        </w:tabs>
        <w:ind w:left="2880" w:hanging="360"/>
      </w:pPr>
      <w:rPr>
        <w:rFonts w:ascii="Arial" w:hAnsi="Arial" w:hint="default"/>
      </w:rPr>
    </w:lvl>
    <w:lvl w:ilvl="5" w:tplc="B78CF34E" w:tentative="1">
      <w:start w:val="1"/>
      <w:numFmt w:val="bullet"/>
      <w:lvlText w:val="•"/>
      <w:lvlJc w:val="left"/>
      <w:pPr>
        <w:tabs>
          <w:tab w:val="num" w:pos="3600"/>
        </w:tabs>
        <w:ind w:left="3600" w:hanging="360"/>
      </w:pPr>
      <w:rPr>
        <w:rFonts w:ascii="Arial" w:hAnsi="Arial" w:hint="default"/>
      </w:rPr>
    </w:lvl>
    <w:lvl w:ilvl="6" w:tplc="95186242" w:tentative="1">
      <w:start w:val="1"/>
      <w:numFmt w:val="bullet"/>
      <w:lvlText w:val="•"/>
      <w:lvlJc w:val="left"/>
      <w:pPr>
        <w:tabs>
          <w:tab w:val="num" w:pos="4320"/>
        </w:tabs>
        <w:ind w:left="4320" w:hanging="360"/>
      </w:pPr>
      <w:rPr>
        <w:rFonts w:ascii="Arial" w:hAnsi="Arial" w:hint="default"/>
      </w:rPr>
    </w:lvl>
    <w:lvl w:ilvl="7" w:tplc="0CEE74EC" w:tentative="1">
      <w:start w:val="1"/>
      <w:numFmt w:val="bullet"/>
      <w:lvlText w:val="•"/>
      <w:lvlJc w:val="left"/>
      <w:pPr>
        <w:tabs>
          <w:tab w:val="num" w:pos="5040"/>
        </w:tabs>
        <w:ind w:left="5040" w:hanging="360"/>
      </w:pPr>
      <w:rPr>
        <w:rFonts w:ascii="Arial" w:hAnsi="Arial" w:hint="default"/>
      </w:rPr>
    </w:lvl>
    <w:lvl w:ilvl="8" w:tplc="EF7866FA" w:tentative="1">
      <w:start w:val="1"/>
      <w:numFmt w:val="bullet"/>
      <w:lvlText w:val="•"/>
      <w:lvlJc w:val="left"/>
      <w:pPr>
        <w:tabs>
          <w:tab w:val="num" w:pos="5760"/>
        </w:tabs>
        <w:ind w:left="5760" w:hanging="360"/>
      </w:pPr>
      <w:rPr>
        <w:rFonts w:ascii="Arial" w:hAnsi="Arial" w:hint="default"/>
      </w:rPr>
    </w:lvl>
  </w:abstractNum>
  <w:abstractNum w:abstractNumId="4" w15:restartNumberingAfterBreak="0">
    <w:nsid w:val="308D4F04"/>
    <w:multiLevelType w:val="multilevel"/>
    <w:tmpl w:val="2D766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A66008"/>
    <w:multiLevelType w:val="hybridMultilevel"/>
    <w:tmpl w:val="5A0AC61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35CB5F3F"/>
    <w:multiLevelType w:val="hybridMultilevel"/>
    <w:tmpl w:val="9B3247D4"/>
    <w:lvl w:ilvl="0" w:tplc="265C22E6">
      <w:start w:val="1"/>
      <w:numFmt w:val="bullet"/>
      <w:lvlText w:val=""/>
      <w:lvlJc w:val="left"/>
      <w:pPr>
        <w:tabs>
          <w:tab w:val="num" w:pos="720"/>
        </w:tabs>
        <w:ind w:left="720" w:hanging="360"/>
      </w:pPr>
      <w:rPr>
        <w:rFonts w:ascii="Wingdings" w:hAnsi="Wingdings" w:hint="default"/>
      </w:rPr>
    </w:lvl>
    <w:lvl w:ilvl="1" w:tplc="43928816" w:tentative="1">
      <w:start w:val="1"/>
      <w:numFmt w:val="bullet"/>
      <w:lvlText w:val=""/>
      <w:lvlJc w:val="left"/>
      <w:pPr>
        <w:tabs>
          <w:tab w:val="num" w:pos="1440"/>
        </w:tabs>
        <w:ind w:left="1440" w:hanging="360"/>
      </w:pPr>
      <w:rPr>
        <w:rFonts w:ascii="Wingdings" w:hAnsi="Wingdings" w:hint="default"/>
      </w:rPr>
    </w:lvl>
    <w:lvl w:ilvl="2" w:tplc="2354C096" w:tentative="1">
      <w:start w:val="1"/>
      <w:numFmt w:val="bullet"/>
      <w:lvlText w:val=""/>
      <w:lvlJc w:val="left"/>
      <w:pPr>
        <w:tabs>
          <w:tab w:val="num" w:pos="2160"/>
        </w:tabs>
        <w:ind w:left="2160" w:hanging="360"/>
      </w:pPr>
      <w:rPr>
        <w:rFonts w:ascii="Wingdings" w:hAnsi="Wingdings" w:hint="default"/>
      </w:rPr>
    </w:lvl>
    <w:lvl w:ilvl="3" w:tplc="F4E46276" w:tentative="1">
      <w:start w:val="1"/>
      <w:numFmt w:val="bullet"/>
      <w:lvlText w:val=""/>
      <w:lvlJc w:val="left"/>
      <w:pPr>
        <w:tabs>
          <w:tab w:val="num" w:pos="2880"/>
        </w:tabs>
        <w:ind w:left="2880" w:hanging="360"/>
      </w:pPr>
      <w:rPr>
        <w:rFonts w:ascii="Wingdings" w:hAnsi="Wingdings" w:hint="default"/>
      </w:rPr>
    </w:lvl>
    <w:lvl w:ilvl="4" w:tplc="E8C20CA8" w:tentative="1">
      <w:start w:val="1"/>
      <w:numFmt w:val="bullet"/>
      <w:lvlText w:val=""/>
      <w:lvlJc w:val="left"/>
      <w:pPr>
        <w:tabs>
          <w:tab w:val="num" w:pos="3600"/>
        </w:tabs>
        <w:ind w:left="3600" w:hanging="360"/>
      </w:pPr>
      <w:rPr>
        <w:rFonts w:ascii="Wingdings" w:hAnsi="Wingdings" w:hint="default"/>
      </w:rPr>
    </w:lvl>
    <w:lvl w:ilvl="5" w:tplc="EE9EC5DC" w:tentative="1">
      <w:start w:val="1"/>
      <w:numFmt w:val="bullet"/>
      <w:lvlText w:val=""/>
      <w:lvlJc w:val="left"/>
      <w:pPr>
        <w:tabs>
          <w:tab w:val="num" w:pos="4320"/>
        </w:tabs>
        <w:ind w:left="4320" w:hanging="360"/>
      </w:pPr>
      <w:rPr>
        <w:rFonts w:ascii="Wingdings" w:hAnsi="Wingdings" w:hint="default"/>
      </w:rPr>
    </w:lvl>
    <w:lvl w:ilvl="6" w:tplc="37E6F29E" w:tentative="1">
      <w:start w:val="1"/>
      <w:numFmt w:val="bullet"/>
      <w:lvlText w:val=""/>
      <w:lvlJc w:val="left"/>
      <w:pPr>
        <w:tabs>
          <w:tab w:val="num" w:pos="5040"/>
        </w:tabs>
        <w:ind w:left="5040" w:hanging="360"/>
      </w:pPr>
      <w:rPr>
        <w:rFonts w:ascii="Wingdings" w:hAnsi="Wingdings" w:hint="default"/>
      </w:rPr>
    </w:lvl>
    <w:lvl w:ilvl="7" w:tplc="5B621EC6" w:tentative="1">
      <w:start w:val="1"/>
      <w:numFmt w:val="bullet"/>
      <w:lvlText w:val=""/>
      <w:lvlJc w:val="left"/>
      <w:pPr>
        <w:tabs>
          <w:tab w:val="num" w:pos="5760"/>
        </w:tabs>
        <w:ind w:left="5760" w:hanging="360"/>
      </w:pPr>
      <w:rPr>
        <w:rFonts w:ascii="Wingdings" w:hAnsi="Wingdings" w:hint="default"/>
      </w:rPr>
    </w:lvl>
    <w:lvl w:ilvl="8" w:tplc="1DA0024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8E7413"/>
    <w:multiLevelType w:val="hybridMultilevel"/>
    <w:tmpl w:val="94A6125E"/>
    <w:lvl w:ilvl="0" w:tplc="1150AB52">
      <w:start w:val="1"/>
      <w:numFmt w:val="bullet"/>
      <w:lvlText w:val=""/>
      <w:lvlJc w:val="left"/>
      <w:pPr>
        <w:tabs>
          <w:tab w:val="num" w:pos="720"/>
        </w:tabs>
        <w:ind w:left="720" w:hanging="360"/>
      </w:pPr>
      <w:rPr>
        <w:rFonts w:ascii="Wingdings" w:hAnsi="Wingdings" w:hint="default"/>
      </w:rPr>
    </w:lvl>
    <w:lvl w:ilvl="1" w:tplc="ED545A7C" w:tentative="1">
      <w:start w:val="1"/>
      <w:numFmt w:val="bullet"/>
      <w:lvlText w:val=""/>
      <w:lvlJc w:val="left"/>
      <w:pPr>
        <w:tabs>
          <w:tab w:val="num" w:pos="1440"/>
        </w:tabs>
        <w:ind w:left="1440" w:hanging="360"/>
      </w:pPr>
      <w:rPr>
        <w:rFonts w:ascii="Wingdings" w:hAnsi="Wingdings" w:hint="default"/>
      </w:rPr>
    </w:lvl>
    <w:lvl w:ilvl="2" w:tplc="993647D2" w:tentative="1">
      <w:start w:val="1"/>
      <w:numFmt w:val="bullet"/>
      <w:lvlText w:val=""/>
      <w:lvlJc w:val="left"/>
      <w:pPr>
        <w:tabs>
          <w:tab w:val="num" w:pos="2160"/>
        </w:tabs>
        <w:ind w:left="2160" w:hanging="360"/>
      </w:pPr>
      <w:rPr>
        <w:rFonts w:ascii="Wingdings" w:hAnsi="Wingdings" w:hint="default"/>
      </w:rPr>
    </w:lvl>
    <w:lvl w:ilvl="3" w:tplc="A49A3710" w:tentative="1">
      <w:start w:val="1"/>
      <w:numFmt w:val="bullet"/>
      <w:lvlText w:val=""/>
      <w:lvlJc w:val="left"/>
      <w:pPr>
        <w:tabs>
          <w:tab w:val="num" w:pos="2880"/>
        </w:tabs>
        <w:ind w:left="2880" w:hanging="360"/>
      </w:pPr>
      <w:rPr>
        <w:rFonts w:ascii="Wingdings" w:hAnsi="Wingdings" w:hint="default"/>
      </w:rPr>
    </w:lvl>
    <w:lvl w:ilvl="4" w:tplc="DA70A230" w:tentative="1">
      <w:start w:val="1"/>
      <w:numFmt w:val="bullet"/>
      <w:lvlText w:val=""/>
      <w:lvlJc w:val="left"/>
      <w:pPr>
        <w:tabs>
          <w:tab w:val="num" w:pos="3600"/>
        </w:tabs>
        <w:ind w:left="3600" w:hanging="360"/>
      </w:pPr>
      <w:rPr>
        <w:rFonts w:ascii="Wingdings" w:hAnsi="Wingdings" w:hint="default"/>
      </w:rPr>
    </w:lvl>
    <w:lvl w:ilvl="5" w:tplc="7DB61064" w:tentative="1">
      <w:start w:val="1"/>
      <w:numFmt w:val="bullet"/>
      <w:lvlText w:val=""/>
      <w:lvlJc w:val="left"/>
      <w:pPr>
        <w:tabs>
          <w:tab w:val="num" w:pos="4320"/>
        </w:tabs>
        <w:ind w:left="4320" w:hanging="360"/>
      </w:pPr>
      <w:rPr>
        <w:rFonts w:ascii="Wingdings" w:hAnsi="Wingdings" w:hint="default"/>
      </w:rPr>
    </w:lvl>
    <w:lvl w:ilvl="6" w:tplc="511E5160" w:tentative="1">
      <w:start w:val="1"/>
      <w:numFmt w:val="bullet"/>
      <w:lvlText w:val=""/>
      <w:lvlJc w:val="left"/>
      <w:pPr>
        <w:tabs>
          <w:tab w:val="num" w:pos="5040"/>
        </w:tabs>
        <w:ind w:left="5040" w:hanging="360"/>
      </w:pPr>
      <w:rPr>
        <w:rFonts w:ascii="Wingdings" w:hAnsi="Wingdings" w:hint="default"/>
      </w:rPr>
    </w:lvl>
    <w:lvl w:ilvl="7" w:tplc="583C61BC" w:tentative="1">
      <w:start w:val="1"/>
      <w:numFmt w:val="bullet"/>
      <w:lvlText w:val=""/>
      <w:lvlJc w:val="left"/>
      <w:pPr>
        <w:tabs>
          <w:tab w:val="num" w:pos="5760"/>
        </w:tabs>
        <w:ind w:left="5760" w:hanging="360"/>
      </w:pPr>
      <w:rPr>
        <w:rFonts w:ascii="Wingdings" w:hAnsi="Wingdings" w:hint="default"/>
      </w:rPr>
    </w:lvl>
    <w:lvl w:ilvl="8" w:tplc="E43689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5E4F26"/>
    <w:multiLevelType w:val="hybridMultilevel"/>
    <w:tmpl w:val="2D881DF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4786F28"/>
    <w:multiLevelType w:val="hybridMultilevel"/>
    <w:tmpl w:val="1C22958A"/>
    <w:lvl w:ilvl="0" w:tplc="53A2CFF0">
      <w:start w:val="1"/>
      <w:numFmt w:val="bullet"/>
      <w:lvlText w:val=""/>
      <w:lvlJc w:val="left"/>
      <w:pPr>
        <w:tabs>
          <w:tab w:val="num" w:pos="720"/>
        </w:tabs>
        <w:ind w:left="720" w:hanging="360"/>
      </w:pPr>
      <w:rPr>
        <w:rFonts w:ascii="Wingdings" w:hAnsi="Wingdings" w:hint="default"/>
      </w:rPr>
    </w:lvl>
    <w:lvl w:ilvl="1" w:tplc="DDBE4002">
      <w:start w:val="1"/>
      <w:numFmt w:val="bullet"/>
      <w:lvlText w:val=""/>
      <w:lvlJc w:val="left"/>
      <w:pPr>
        <w:tabs>
          <w:tab w:val="num" w:pos="1440"/>
        </w:tabs>
        <w:ind w:left="1440" w:hanging="360"/>
      </w:pPr>
      <w:rPr>
        <w:rFonts w:ascii="Wingdings" w:hAnsi="Wingdings" w:hint="default"/>
      </w:rPr>
    </w:lvl>
    <w:lvl w:ilvl="2" w:tplc="164C9F94" w:tentative="1">
      <w:start w:val="1"/>
      <w:numFmt w:val="bullet"/>
      <w:lvlText w:val=""/>
      <w:lvlJc w:val="left"/>
      <w:pPr>
        <w:tabs>
          <w:tab w:val="num" w:pos="2160"/>
        </w:tabs>
        <w:ind w:left="2160" w:hanging="360"/>
      </w:pPr>
      <w:rPr>
        <w:rFonts w:ascii="Wingdings" w:hAnsi="Wingdings" w:hint="default"/>
      </w:rPr>
    </w:lvl>
    <w:lvl w:ilvl="3" w:tplc="58E0FBBC" w:tentative="1">
      <w:start w:val="1"/>
      <w:numFmt w:val="bullet"/>
      <w:lvlText w:val=""/>
      <w:lvlJc w:val="left"/>
      <w:pPr>
        <w:tabs>
          <w:tab w:val="num" w:pos="2880"/>
        </w:tabs>
        <w:ind w:left="2880" w:hanging="360"/>
      </w:pPr>
      <w:rPr>
        <w:rFonts w:ascii="Wingdings" w:hAnsi="Wingdings" w:hint="default"/>
      </w:rPr>
    </w:lvl>
    <w:lvl w:ilvl="4" w:tplc="10D87934" w:tentative="1">
      <w:start w:val="1"/>
      <w:numFmt w:val="bullet"/>
      <w:lvlText w:val=""/>
      <w:lvlJc w:val="left"/>
      <w:pPr>
        <w:tabs>
          <w:tab w:val="num" w:pos="3600"/>
        </w:tabs>
        <w:ind w:left="3600" w:hanging="360"/>
      </w:pPr>
      <w:rPr>
        <w:rFonts w:ascii="Wingdings" w:hAnsi="Wingdings" w:hint="default"/>
      </w:rPr>
    </w:lvl>
    <w:lvl w:ilvl="5" w:tplc="54EA0E26" w:tentative="1">
      <w:start w:val="1"/>
      <w:numFmt w:val="bullet"/>
      <w:lvlText w:val=""/>
      <w:lvlJc w:val="left"/>
      <w:pPr>
        <w:tabs>
          <w:tab w:val="num" w:pos="4320"/>
        </w:tabs>
        <w:ind w:left="4320" w:hanging="360"/>
      </w:pPr>
      <w:rPr>
        <w:rFonts w:ascii="Wingdings" w:hAnsi="Wingdings" w:hint="default"/>
      </w:rPr>
    </w:lvl>
    <w:lvl w:ilvl="6" w:tplc="2EC0C4E4" w:tentative="1">
      <w:start w:val="1"/>
      <w:numFmt w:val="bullet"/>
      <w:lvlText w:val=""/>
      <w:lvlJc w:val="left"/>
      <w:pPr>
        <w:tabs>
          <w:tab w:val="num" w:pos="5040"/>
        </w:tabs>
        <w:ind w:left="5040" w:hanging="360"/>
      </w:pPr>
      <w:rPr>
        <w:rFonts w:ascii="Wingdings" w:hAnsi="Wingdings" w:hint="default"/>
      </w:rPr>
    </w:lvl>
    <w:lvl w:ilvl="7" w:tplc="FF5033B0" w:tentative="1">
      <w:start w:val="1"/>
      <w:numFmt w:val="bullet"/>
      <w:lvlText w:val=""/>
      <w:lvlJc w:val="left"/>
      <w:pPr>
        <w:tabs>
          <w:tab w:val="num" w:pos="5760"/>
        </w:tabs>
        <w:ind w:left="5760" w:hanging="360"/>
      </w:pPr>
      <w:rPr>
        <w:rFonts w:ascii="Wingdings" w:hAnsi="Wingdings" w:hint="default"/>
      </w:rPr>
    </w:lvl>
    <w:lvl w:ilvl="8" w:tplc="43D6E01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2C28FB"/>
    <w:multiLevelType w:val="hybridMultilevel"/>
    <w:tmpl w:val="DA128474"/>
    <w:lvl w:ilvl="0" w:tplc="D208179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4B5D6B74"/>
    <w:multiLevelType w:val="hybridMultilevel"/>
    <w:tmpl w:val="D4B6F68A"/>
    <w:lvl w:ilvl="0" w:tplc="04090001">
      <w:start w:val="1"/>
      <w:numFmt w:val="bullet"/>
      <w:lvlText w:val=""/>
      <w:lvlJc w:val="left"/>
      <w:pPr>
        <w:ind w:left="840" w:hanging="420"/>
      </w:pPr>
      <w:rPr>
        <w:rFonts w:ascii="Wingdings" w:hAnsi="Wingding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51737231"/>
    <w:multiLevelType w:val="hybridMultilevel"/>
    <w:tmpl w:val="3D3C7C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F6C7F46"/>
    <w:multiLevelType w:val="hybridMultilevel"/>
    <w:tmpl w:val="C862D80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15:restartNumberingAfterBreak="0">
    <w:nsid w:val="659B34CE"/>
    <w:multiLevelType w:val="hybridMultilevel"/>
    <w:tmpl w:val="3D3C7C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7075215"/>
    <w:multiLevelType w:val="hybridMultilevel"/>
    <w:tmpl w:val="74487A9C"/>
    <w:lvl w:ilvl="0" w:tplc="1EA4FA74">
      <w:start w:val="1"/>
      <w:numFmt w:val="bullet"/>
      <w:lvlText w:val=""/>
      <w:lvlJc w:val="left"/>
      <w:pPr>
        <w:tabs>
          <w:tab w:val="num" w:pos="720"/>
        </w:tabs>
        <w:ind w:left="720" w:hanging="360"/>
      </w:pPr>
      <w:rPr>
        <w:rFonts w:ascii="Wingdings" w:hAnsi="Wingdings" w:hint="default"/>
      </w:rPr>
    </w:lvl>
    <w:lvl w:ilvl="1" w:tplc="F5B4B4C6">
      <w:start w:val="1"/>
      <w:numFmt w:val="bullet"/>
      <w:lvlText w:val=""/>
      <w:lvlJc w:val="left"/>
      <w:pPr>
        <w:tabs>
          <w:tab w:val="num" w:pos="1440"/>
        </w:tabs>
        <w:ind w:left="1440" w:hanging="360"/>
      </w:pPr>
      <w:rPr>
        <w:rFonts w:ascii="Wingdings" w:hAnsi="Wingdings" w:hint="default"/>
      </w:rPr>
    </w:lvl>
    <w:lvl w:ilvl="2" w:tplc="A76EC61C" w:tentative="1">
      <w:start w:val="1"/>
      <w:numFmt w:val="bullet"/>
      <w:lvlText w:val=""/>
      <w:lvlJc w:val="left"/>
      <w:pPr>
        <w:tabs>
          <w:tab w:val="num" w:pos="2160"/>
        </w:tabs>
        <w:ind w:left="2160" w:hanging="360"/>
      </w:pPr>
      <w:rPr>
        <w:rFonts w:ascii="Wingdings" w:hAnsi="Wingdings" w:hint="default"/>
      </w:rPr>
    </w:lvl>
    <w:lvl w:ilvl="3" w:tplc="B7665F6A" w:tentative="1">
      <w:start w:val="1"/>
      <w:numFmt w:val="bullet"/>
      <w:lvlText w:val=""/>
      <w:lvlJc w:val="left"/>
      <w:pPr>
        <w:tabs>
          <w:tab w:val="num" w:pos="2880"/>
        </w:tabs>
        <w:ind w:left="2880" w:hanging="360"/>
      </w:pPr>
      <w:rPr>
        <w:rFonts w:ascii="Wingdings" w:hAnsi="Wingdings" w:hint="default"/>
      </w:rPr>
    </w:lvl>
    <w:lvl w:ilvl="4" w:tplc="C2D299F6" w:tentative="1">
      <w:start w:val="1"/>
      <w:numFmt w:val="bullet"/>
      <w:lvlText w:val=""/>
      <w:lvlJc w:val="left"/>
      <w:pPr>
        <w:tabs>
          <w:tab w:val="num" w:pos="3600"/>
        </w:tabs>
        <w:ind w:left="3600" w:hanging="360"/>
      </w:pPr>
      <w:rPr>
        <w:rFonts w:ascii="Wingdings" w:hAnsi="Wingdings" w:hint="default"/>
      </w:rPr>
    </w:lvl>
    <w:lvl w:ilvl="5" w:tplc="E4E01512" w:tentative="1">
      <w:start w:val="1"/>
      <w:numFmt w:val="bullet"/>
      <w:lvlText w:val=""/>
      <w:lvlJc w:val="left"/>
      <w:pPr>
        <w:tabs>
          <w:tab w:val="num" w:pos="4320"/>
        </w:tabs>
        <w:ind w:left="4320" w:hanging="360"/>
      </w:pPr>
      <w:rPr>
        <w:rFonts w:ascii="Wingdings" w:hAnsi="Wingdings" w:hint="default"/>
      </w:rPr>
    </w:lvl>
    <w:lvl w:ilvl="6" w:tplc="C1C63F02" w:tentative="1">
      <w:start w:val="1"/>
      <w:numFmt w:val="bullet"/>
      <w:lvlText w:val=""/>
      <w:lvlJc w:val="left"/>
      <w:pPr>
        <w:tabs>
          <w:tab w:val="num" w:pos="5040"/>
        </w:tabs>
        <w:ind w:left="5040" w:hanging="360"/>
      </w:pPr>
      <w:rPr>
        <w:rFonts w:ascii="Wingdings" w:hAnsi="Wingdings" w:hint="default"/>
      </w:rPr>
    </w:lvl>
    <w:lvl w:ilvl="7" w:tplc="AAA89944" w:tentative="1">
      <w:start w:val="1"/>
      <w:numFmt w:val="bullet"/>
      <w:lvlText w:val=""/>
      <w:lvlJc w:val="left"/>
      <w:pPr>
        <w:tabs>
          <w:tab w:val="num" w:pos="5760"/>
        </w:tabs>
        <w:ind w:left="5760" w:hanging="360"/>
      </w:pPr>
      <w:rPr>
        <w:rFonts w:ascii="Wingdings" w:hAnsi="Wingdings" w:hint="default"/>
      </w:rPr>
    </w:lvl>
    <w:lvl w:ilvl="8" w:tplc="33EEA54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F55F76"/>
    <w:multiLevelType w:val="hybridMultilevel"/>
    <w:tmpl w:val="5516B8FE"/>
    <w:lvl w:ilvl="0" w:tplc="4F32AE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FE31DDD"/>
    <w:multiLevelType w:val="hybridMultilevel"/>
    <w:tmpl w:val="D6724BDA"/>
    <w:lvl w:ilvl="0" w:tplc="CA0A88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08A3DA8"/>
    <w:multiLevelType w:val="hybridMultilevel"/>
    <w:tmpl w:val="6CDEF5A6"/>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73990660"/>
    <w:multiLevelType w:val="hybridMultilevel"/>
    <w:tmpl w:val="602A973E"/>
    <w:lvl w:ilvl="0" w:tplc="CA384DC8">
      <w:start w:val="1"/>
      <w:numFmt w:val="bullet"/>
      <w:lvlText w:val="•"/>
      <w:lvlJc w:val="left"/>
      <w:pPr>
        <w:tabs>
          <w:tab w:val="num" w:pos="720"/>
        </w:tabs>
        <w:ind w:left="720" w:hanging="360"/>
      </w:pPr>
      <w:rPr>
        <w:rFonts w:ascii="Arial" w:hAnsi="Arial" w:hint="default"/>
      </w:rPr>
    </w:lvl>
    <w:lvl w:ilvl="1" w:tplc="6876E248">
      <w:start w:val="1"/>
      <w:numFmt w:val="bullet"/>
      <w:lvlText w:val="•"/>
      <w:lvlJc w:val="left"/>
      <w:pPr>
        <w:tabs>
          <w:tab w:val="num" w:pos="1440"/>
        </w:tabs>
        <w:ind w:left="1440" w:hanging="360"/>
      </w:pPr>
      <w:rPr>
        <w:rFonts w:ascii="Arial" w:hAnsi="Arial" w:hint="default"/>
      </w:rPr>
    </w:lvl>
    <w:lvl w:ilvl="2" w:tplc="9E3A9FCC" w:tentative="1">
      <w:start w:val="1"/>
      <w:numFmt w:val="bullet"/>
      <w:lvlText w:val="•"/>
      <w:lvlJc w:val="left"/>
      <w:pPr>
        <w:tabs>
          <w:tab w:val="num" w:pos="2160"/>
        </w:tabs>
        <w:ind w:left="2160" w:hanging="360"/>
      </w:pPr>
      <w:rPr>
        <w:rFonts w:ascii="Arial" w:hAnsi="Arial" w:hint="default"/>
      </w:rPr>
    </w:lvl>
    <w:lvl w:ilvl="3" w:tplc="D7461D30" w:tentative="1">
      <w:start w:val="1"/>
      <w:numFmt w:val="bullet"/>
      <w:lvlText w:val="•"/>
      <w:lvlJc w:val="left"/>
      <w:pPr>
        <w:tabs>
          <w:tab w:val="num" w:pos="2880"/>
        </w:tabs>
        <w:ind w:left="2880" w:hanging="360"/>
      </w:pPr>
      <w:rPr>
        <w:rFonts w:ascii="Arial" w:hAnsi="Arial" w:hint="default"/>
      </w:rPr>
    </w:lvl>
    <w:lvl w:ilvl="4" w:tplc="1160F070" w:tentative="1">
      <w:start w:val="1"/>
      <w:numFmt w:val="bullet"/>
      <w:lvlText w:val="•"/>
      <w:lvlJc w:val="left"/>
      <w:pPr>
        <w:tabs>
          <w:tab w:val="num" w:pos="3600"/>
        </w:tabs>
        <w:ind w:left="3600" w:hanging="360"/>
      </w:pPr>
      <w:rPr>
        <w:rFonts w:ascii="Arial" w:hAnsi="Arial" w:hint="default"/>
      </w:rPr>
    </w:lvl>
    <w:lvl w:ilvl="5" w:tplc="B8D2C774" w:tentative="1">
      <w:start w:val="1"/>
      <w:numFmt w:val="bullet"/>
      <w:lvlText w:val="•"/>
      <w:lvlJc w:val="left"/>
      <w:pPr>
        <w:tabs>
          <w:tab w:val="num" w:pos="4320"/>
        </w:tabs>
        <w:ind w:left="4320" w:hanging="360"/>
      </w:pPr>
      <w:rPr>
        <w:rFonts w:ascii="Arial" w:hAnsi="Arial" w:hint="default"/>
      </w:rPr>
    </w:lvl>
    <w:lvl w:ilvl="6" w:tplc="57689990" w:tentative="1">
      <w:start w:val="1"/>
      <w:numFmt w:val="bullet"/>
      <w:lvlText w:val="•"/>
      <w:lvlJc w:val="left"/>
      <w:pPr>
        <w:tabs>
          <w:tab w:val="num" w:pos="5040"/>
        </w:tabs>
        <w:ind w:left="5040" w:hanging="360"/>
      </w:pPr>
      <w:rPr>
        <w:rFonts w:ascii="Arial" w:hAnsi="Arial" w:hint="default"/>
      </w:rPr>
    </w:lvl>
    <w:lvl w:ilvl="7" w:tplc="ADECAB5E" w:tentative="1">
      <w:start w:val="1"/>
      <w:numFmt w:val="bullet"/>
      <w:lvlText w:val="•"/>
      <w:lvlJc w:val="left"/>
      <w:pPr>
        <w:tabs>
          <w:tab w:val="num" w:pos="5760"/>
        </w:tabs>
        <w:ind w:left="5760" w:hanging="360"/>
      </w:pPr>
      <w:rPr>
        <w:rFonts w:ascii="Arial" w:hAnsi="Arial" w:hint="default"/>
      </w:rPr>
    </w:lvl>
    <w:lvl w:ilvl="8" w:tplc="A8F0B0B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7887A96"/>
    <w:multiLevelType w:val="hybridMultilevel"/>
    <w:tmpl w:val="2F0072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16cid:durableId="2108499264">
    <w:abstractNumId w:val="11"/>
  </w:num>
  <w:num w:numId="2" w16cid:durableId="1002929160">
    <w:abstractNumId w:val="18"/>
  </w:num>
  <w:num w:numId="3" w16cid:durableId="319046519">
    <w:abstractNumId w:val="8"/>
  </w:num>
  <w:num w:numId="4" w16cid:durableId="2081751965">
    <w:abstractNumId w:val="12"/>
  </w:num>
  <w:num w:numId="5" w16cid:durableId="1511486041">
    <w:abstractNumId w:val="7"/>
  </w:num>
  <w:num w:numId="6" w16cid:durableId="4750392">
    <w:abstractNumId w:val="10"/>
  </w:num>
  <w:num w:numId="7" w16cid:durableId="1612282494">
    <w:abstractNumId w:val="17"/>
  </w:num>
  <w:num w:numId="8" w16cid:durableId="1663503707">
    <w:abstractNumId w:val="20"/>
  </w:num>
  <w:num w:numId="9" w16cid:durableId="1312056788">
    <w:abstractNumId w:val="16"/>
  </w:num>
  <w:num w:numId="10" w16cid:durableId="980619084">
    <w:abstractNumId w:val="2"/>
  </w:num>
  <w:num w:numId="11" w16cid:durableId="1944066569">
    <w:abstractNumId w:val="14"/>
  </w:num>
  <w:num w:numId="12" w16cid:durableId="1877352286">
    <w:abstractNumId w:val="3"/>
  </w:num>
  <w:num w:numId="13" w16cid:durableId="1806504743">
    <w:abstractNumId w:val="6"/>
  </w:num>
  <w:num w:numId="14" w16cid:durableId="107312662">
    <w:abstractNumId w:val="19"/>
  </w:num>
  <w:num w:numId="15" w16cid:durableId="1889297552">
    <w:abstractNumId w:val="9"/>
  </w:num>
  <w:num w:numId="16" w16cid:durableId="1456018086">
    <w:abstractNumId w:val="15"/>
  </w:num>
  <w:num w:numId="17" w16cid:durableId="2058239863">
    <w:abstractNumId w:val="1"/>
  </w:num>
  <w:num w:numId="18" w16cid:durableId="2002463589">
    <w:abstractNumId w:val="0"/>
  </w:num>
  <w:num w:numId="19" w16cid:durableId="2033218515">
    <w:abstractNumId w:val="5"/>
  </w:num>
  <w:num w:numId="20" w16cid:durableId="1281106928">
    <w:abstractNumId w:val="13"/>
  </w:num>
  <w:num w:numId="21" w16cid:durableId="15692465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C23"/>
    <w:rsid w:val="0000600C"/>
    <w:rsid w:val="00007F88"/>
    <w:rsid w:val="00012301"/>
    <w:rsid w:val="00014F6D"/>
    <w:rsid w:val="0002435B"/>
    <w:rsid w:val="000248E2"/>
    <w:rsid w:val="00030ABA"/>
    <w:rsid w:val="0003492A"/>
    <w:rsid w:val="00037ED3"/>
    <w:rsid w:val="0004151A"/>
    <w:rsid w:val="00042D77"/>
    <w:rsid w:val="00044E20"/>
    <w:rsid w:val="00047806"/>
    <w:rsid w:val="000518F3"/>
    <w:rsid w:val="00052DBA"/>
    <w:rsid w:val="00070CEA"/>
    <w:rsid w:val="00072816"/>
    <w:rsid w:val="00075D37"/>
    <w:rsid w:val="00080F01"/>
    <w:rsid w:val="00081296"/>
    <w:rsid w:val="0008132A"/>
    <w:rsid w:val="0008250C"/>
    <w:rsid w:val="000832C0"/>
    <w:rsid w:val="00084F92"/>
    <w:rsid w:val="000A083E"/>
    <w:rsid w:val="000C5161"/>
    <w:rsid w:val="000D2427"/>
    <w:rsid w:val="000D382F"/>
    <w:rsid w:val="000D6777"/>
    <w:rsid w:val="000F03E8"/>
    <w:rsid w:val="000F0C97"/>
    <w:rsid w:val="000F2700"/>
    <w:rsid w:val="000F4A67"/>
    <w:rsid w:val="0010000A"/>
    <w:rsid w:val="001109EC"/>
    <w:rsid w:val="001113AB"/>
    <w:rsid w:val="0011536C"/>
    <w:rsid w:val="00115491"/>
    <w:rsid w:val="001207DF"/>
    <w:rsid w:val="001228E8"/>
    <w:rsid w:val="00123464"/>
    <w:rsid w:val="0012538F"/>
    <w:rsid w:val="00125F76"/>
    <w:rsid w:val="001324CC"/>
    <w:rsid w:val="001419DD"/>
    <w:rsid w:val="00141BA4"/>
    <w:rsid w:val="00146B4D"/>
    <w:rsid w:val="0014796C"/>
    <w:rsid w:val="00152DF6"/>
    <w:rsid w:val="00162306"/>
    <w:rsid w:val="00166122"/>
    <w:rsid w:val="00166A88"/>
    <w:rsid w:val="00172F4F"/>
    <w:rsid w:val="0018071E"/>
    <w:rsid w:val="001818E8"/>
    <w:rsid w:val="0018400A"/>
    <w:rsid w:val="0018784C"/>
    <w:rsid w:val="00193FE8"/>
    <w:rsid w:val="00197292"/>
    <w:rsid w:val="001B3BBE"/>
    <w:rsid w:val="001C08F7"/>
    <w:rsid w:val="001C5E25"/>
    <w:rsid w:val="001D0E84"/>
    <w:rsid w:val="001D356E"/>
    <w:rsid w:val="001D3D47"/>
    <w:rsid w:val="001D6E67"/>
    <w:rsid w:val="001D7949"/>
    <w:rsid w:val="001E07E0"/>
    <w:rsid w:val="001E4CDC"/>
    <w:rsid w:val="001E6CE7"/>
    <w:rsid w:val="001F27C7"/>
    <w:rsid w:val="001F429D"/>
    <w:rsid w:val="001F4FE7"/>
    <w:rsid w:val="001F5A66"/>
    <w:rsid w:val="001F62BE"/>
    <w:rsid w:val="00200D91"/>
    <w:rsid w:val="00201C78"/>
    <w:rsid w:val="00207C67"/>
    <w:rsid w:val="00216E36"/>
    <w:rsid w:val="00224E79"/>
    <w:rsid w:val="00234F21"/>
    <w:rsid w:val="002470A3"/>
    <w:rsid w:val="00250A8D"/>
    <w:rsid w:val="00263361"/>
    <w:rsid w:val="00271A19"/>
    <w:rsid w:val="002740AF"/>
    <w:rsid w:val="00281276"/>
    <w:rsid w:val="002849B1"/>
    <w:rsid w:val="00290559"/>
    <w:rsid w:val="002962A5"/>
    <w:rsid w:val="002A3027"/>
    <w:rsid w:val="002A3B4C"/>
    <w:rsid w:val="002B3764"/>
    <w:rsid w:val="002C2E93"/>
    <w:rsid w:val="002C6FF7"/>
    <w:rsid w:val="002D3645"/>
    <w:rsid w:val="002D4140"/>
    <w:rsid w:val="002D7A82"/>
    <w:rsid w:val="002E58A3"/>
    <w:rsid w:val="002F3A0B"/>
    <w:rsid w:val="00300004"/>
    <w:rsid w:val="00303AD4"/>
    <w:rsid w:val="003064B1"/>
    <w:rsid w:val="00306F7A"/>
    <w:rsid w:val="0031531F"/>
    <w:rsid w:val="00330699"/>
    <w:rsid w:val="00337AC3"/>
    <w:rsid w:val="003471D4"/>
    <w:rsid w:val="00347743"/>
    <w:rsid w:val="00350EA6"/>
    <w:rsid w:val="00357A52"/>
    <w:rsid w:val="003650DB"/>
    <w:rsid w:val="00366D2E"/>
    <w:rsid w:val="00374385"/>
    <w:rsid w:val="0037497F"/>
    <w:rsid w:val="00381319"/>
    <w:rsid w:val="00397C91"/>
    <w:rsid w:val="003B602E"/>
    <w:rsid w:val="003B6193"/>
    <w:rsid w:val="003B73E3"/>
    <w:rsid w:val="003C23AE"/>
    <w:rsid w:val="003C29D0"/>
    <w:rsid w:val="003C4B6E"/>
    <w:rsid w:val="003D2FB7"/>
    <w:rsid w:val="003D30E7"/>
    <w:rsid w:val="003F1944"/>
    <w:rsid w:val="003F5864"/>
    <w:rsid w:val="00403D29"/>
    <w:rsid w:val="0040563C"/>
    <w:rsid w:val="00407179"/>
    <w:rsid w:val="00412FCD"/>
    <w:rsid w:val="00415834"/>
    <w:rsid w:val="00420E39"/>
    <w:rsid w:val="00422070"/>
    <w:rsid w:val="004220BC"/>
    <w:rsid w:val="004262DC"/>
    <w:rsid w:val="00430EED"/>
    <w:rsid w:val="00431C77"/>
    <w:rsid w:val="00434EC0"/>
    <w:rsid w:val="00447C8B"/>
    <w:rsid w:val="00454007"/>
    <w:rsid w:val="00462AF4"/>
    <w:rsid w:val="00464067"/>
    <w:rsid w:val="004777C6"/>
    <w:rsid w:val="0048370A"/>
    <w:rsid w:val="004901D4"/>
    <w:rsid w:val="004927EE"/>
    <w:rsid w:val="00493CCC"/>
    <w:rsid w:val="004A23A7"/>
    <w:rsid w:val="004A5D29"/>
    <w:rsid w:val="004A7D3A"/>
    <w:rsid w:val="004B44FE"/>
    <w:rsid w:val="004B50CC"/>
    <w:rsid w:val="004B6E25"/>
    <w:rsid w:val="004C0366"/>
    <w:rsid w:val="004D1C15"/>
    <w:rsid w:val="004D5E4A"/>
    <w:rsid w:val="004F4134"/>
    <w:rsid w:val="005011C2"/>
    <w:rsid w:val="00503A06"/>
    <w:rsid w:val="00504195"/>
    <w:rsid w:val="00504BA2"/>
    <w:rsid w:val="00511FF4"/>
    <w:rsid w:val="005136DA"/>
    <w:rsid w:val="00513D47"/>
    <w:rsid w:val="00524416"/>
    <w:rsid w:val="00526E97"/>
    <w:rsid w:val="005532FE"/>
    <w:rsid w:val="005558AF"/>
    <w:rsid w:val="0056469F"/>
    <w:rsid w:val="005739A3"/>
    <w:rsid w:val="005747EB"/>
    <w:rsid w:val="005762EF"/>
    <w:rsid w:val="00581516"/>
    <w:rsid w:val="00592791"/>
    <w:rsid w:val="00594C07"/>
    <w:rsid w:val="00595E0F"/>
    <w:rsid w:val="005A02DB"/>
    <w:rsid w:val="005A2C2C"/>
    <w:rsid w:val="005B1457"/>
    <w:rsid w:val="005B218A"/>
    <w:rsid w:val="005C0225"/>
    <w:rsid w:val="005C2E11"/>
    <w:rsid w:val="005C3D07"/>
    <w:rsid w:val="005C4105"/>
    <w:rsid w:val="005C4A37"/>
    <w:rsid w:val="005E7DEB"/>
    <w:rsid w:val="005E7FC7"/>
    <w:rsid w:val="005F0A04"/>
    <w:rsid w:val="00603E0C"/>
    <w:rsid w:val="00607794"/>
    <w:rsid w:val="00611A85"/>
    <w:rsid w:val="00615A75"/>
    <w:rsid w:val="00616AFA"/>
    <w:rsid w:val="006233CD"/>
    <w:rsid w:val="006264ED"/>
    <w:rsid w:val="00635705"/>
    <w:rsid w:val="00640B23"/>
    <w:rsid w:val="00640C03"/>
    <w:rsid w:val="006425D3"/>
    <w:rsid w:val="00646185"/>
    <w:rsid w:val="00650CCD"/>
    <w:rsid w:val="00653963"/>
    <w:rsid w:val="006600AA"/>
    <w:rsid w:val="00661F8C"/>
    <w:rsid w:val="00667C3C"/>
    <w:rsid w:val="00690EA6"/>
    <w:rsid w:val="006944F7"/>
    <w:rsid w:val="00697078"/>
    <w:rsid w:val="00697DD7"/>
    <w:rsid w:val="006A1836"/>
    <w:rsid w:val="006A1F1E"/>
    <w:rsid w:val="006A47E9"/>
    <w:rsid w:val="006B2042"/>
    <w:rsid w:val="006B72D6"/>
    <w:rsid w:val="006C196E"/>
    <w:rsid w:val="006C29EA"/>
    <w:rsid w:val="006C5A08"/>
    <w:rsid w:val="006C6380"/>
    <w:rsid w:val="006E0F43"/>
    <w:rsid w:val="006E47DF"/>
    <w:rsid w:val="006E557C"/>
    <w:rsid w:val="006E6FB8"/>
    <w:rsid w:val="006F2EC0"/>
    <w:rsid w:val="006F757D"/>
    <w:rsid w:val="007009D8"/>
    <w:rsid w:val="00702379"/>
    <w:rsid w:val="00703A3B"/>
    <w:rsid w:val="00711DF9"/>
    <w:rsid w:val="00713B15"/>
    <w:rsid w:val="00714B62"/>
    <w:rsid w:val="00721BE2"/>
    <w:rsid w:val="007252DC"/>
    <w:rsid w:val="00725FC0"/>
    <w:rsid w:val="0072687C"/>
    <w:rsid w:val="0073365E"/>
    <w:rsid w:val="007344E4"/>
    <w:rsid w:val="007440F6"/>
    <w:rsid w:val="007471F3"/>
    <w:rsid w:val="00754B88"/>
    <w:rsid w:val="00761F4E"/>
    <w:rsid w:val="00765BBD"/>
    <w:rsid w:val="0076606C"/>
    <w:rsid w:val="007729B7"/>
    <w:rsid w:val="00774688"/>
    <w:rsid w:val="00783049"/>
    <w:rsid w:val="00783AC2"/>
    <w:rsid w:val="0078644E"/>
    <w:rsid w:val="00790EDA"/>
    <w:rsid w:val="00791392"/>
    <w:rsid w:val="007970D9"/>
    <w:rsid w:val="00797CE3"/>
    <w:rsid w:val="007A3E7A"/>
    <w:rsid w:val="007B4FAC"/>
    <w:rsid w:val="007B5480"/>
    <w:rsid w:val="007B5637"/>
    <w:rsid w:val="007C0328"/>
    <w:rsid w:val="007C4C2F"/>
    <w:rsid w:val="007D07FF"/>
    <w:rsid w:val="007D1C0E"/>
    <w:rsid w:val="007D7D19"/>
    <w:rsid w:val="007E0C11"/>
    <w:rsid w:val="007E12C7"/>
    <w:rsid w:val="007E47CD"/>
    <w:rsid w:val="007E58B1"/>
    <w:rsid w:val="007E7609"/>
    <w:rsid w:val="007F3AB5"/>
    <w:rsid w:val="007F5D1F"/>
    <w:rsid w:val="008012CD"/>
    <w:rsid w:val="00802A83"/>
    <w:rsid w:val="00813064"/>
    <w:rsid w:val="00814F7B"/>
    <w:rsid w:val="00817A51"/>
    <w:rsid w:val="0082204C"/>
    <w:rsid w:val="0082541D"/>
    <w:rsid w:val="00825F14"/>
    <w:rsid w:val="00830DE6"/>
    <w:rsid w:val="00835ED5"/>
    <w:rsid w:val="00840130"/>
    <w:rsid w:val="0084082D"/>
    <w:rsid w:val="00844467"/>
    <w:rsid w:val="008452C8"/>
    <w:rsid w:val="00846660"/>
    <w:rsid w:val="00860C37"/>
    <w:rsid w:val="0086578C"/>
    <w:rsid w:val="00870075"/>
    <w:rsid w:val="0087372D"/>
    <w:rsid w:val="00880CD3"/>
    <w:rsid w:val="0088114C"/>
    <w:rsid w:val="008845BD"/>
    <w:rsid w:val="008A142F"/>
    <w:rsid w:val="008A2BE2"/>
    <w:rsid w:val="008A2F0E"/>
    <w:rsid w:val="008A56B6"/>
    <w:rsid w:val="008B20A1"/>
    <w:rsid w:val="008B5458"/>
    <w:rsid w:val="008C009F"/>
    <w:rsid w:val="008C2B3D"/>
    <w:rsid w:val="008C398F"/>
    <w:rsid w:val="008C3E89"/>
    <w:rsid w:val="008D359B"/>
    <w:rsid w:val="008D3FD3"/>
    <w:rsid w:val="008E4A64"/>
    <w:rsid w:val="008E5FDF"/>
    <w:rsid w:val="008E7265"/>
    <w:rsid w:val="008F037A"/>
    <w:rsid w:val="008F3D68"/>
    <w:rsid w:val="008F5F2C"/>
    <w:rsid w:val="009066E7"/>
    <w:rsid w:val="0090703C"/>
    <w:rsid w:val="0093479F"/>
    <w:rsid w:val="00940794"/>
    <w:rsid w:val="00941D97"/>
    <w:rsid w:val="00944AC4"/>
    <w:rsid w:val="009478D8"/>
    <w:rsid w:val="0095272B"/>
    <w:rsid w:val="0097116D"/>
    <w:rsid w:val="0097207D"/>
    <w:rsid w:val="0097570F"/>
    <w:rsid w:val="0097579C"/>
    <w:rsid w:val="00975C92"/>
    <w:rsid w:val="00983EAA"/>
    <w:rsid w:val="00990781"/>
    <w:rsid w:val="0099089D"/>
    <w:rsid w:val="00992540"/>
    <w:rsid w:val="00994D9E"/>
    <w:rsid w:val="009A23AA"/>
    <w:rsid w:val="009A6868"/>
    <w:rsid w:val="009B2826"/>
    <w:rsid w:val="009B736B"/>
    <w:rsid w:val="009B7692"/>
    <w:rsid w:val="009C2AC3"/>
    <w:rsid w:val="009C3234"/>
    <w:rsid w:val="009C58C9"/>
    <w:rsid w:val="009C6FB5"/>
    <w:rsid w:val="009D4C23"/>
    <w:rsid w:val="009D7CF9"/>
    <w:rsid w:val="009E26E1"/>
    <w:rsid w:val="009F32FA"/>
    <w:rsid w:val="009F5CDF"/>
    <w:rsid w:val="009F7749"/>
    <w:rsid w:val="00A02697"/>
    <w:rsid w:val="00A05981"/>
    <w:rsid w:val="00A062B4"/>
    <w:rsid w:val="00A114BC"/>
    <w:rsid w:val="00A128F6"/>
    <w:rsid w:val="00A129D1"/>
    <w:rsid w:val="00A14A83"/>
    <w:rsid w:val="00A14C31"/>
    <w:rsid w:val="00A17FC9"/>
    <w:rsid w:val="00A20C73"/>
    <w:rsid w:val="00A2594F"/>
    <w:rsid w:val="00A27B6D"/>
    <w:rsid w:val="00A403D7"/>
    <w:rsid w:val="00A416DE"/>
    <w:rsid w:val="00A41ABB"/>
    <w:rsid w:val="00A479F7"/>
    <w:rsid w:val="00A47BED"/>
    <w:rsid w:val="00A5011A"/>
    <w:rsid w:val="00A52542"/>
    <w:rsid w:val="00A5270A"/>
    <w:rsid w:val="00A55B24"/>
    <w:rsid w:val="00A605CD"/>
    <w:rsid w:val="00A662D4"/>
    <w:rsid w:val="00A6632F"/>
    <w:rsid w:val="00A66A6C"/>
    <w:rsid w:val="00A75E91"/>
    <w:rsid w:val="00A76287"/>
    <w:rsid w:val="00A8223A"/>
    <w:rsid w:val="00A84647"/>
    <w:rsid w:val="00A86EA4"/>
    <w:rsid w:val="00A900C1"/>
    <w:rsid w:val="00A95BAE"/>
    <w:rsid w:val="00AA4CB0"/>
    <w:rsid w:val="00AA500C"/>
    <w:rsid w:val="00AB06F4"/>
    <w:rsid w:val="00AB60DA"/>
    <w:rsid w:val="00AC18CC"/>
    <w:rsid w:val="00AC3B66"/>
    <w:rsid w:val="00AC7814"/>
    <w:rsid w:val="00AD2BFC"/>
    <w:rsid w:val="00AD45C0"/>
    <w:rsid w:val="00AD7BC1"/>
    <w:rsid w:val="00AE5394"/>
    <w:rsid w:val="00AE60C2"/>
    <w:rsid w:val="00AE7D3D"/>
    <w:rsid w:val="00AF0258"/>
    <w:rsid w:val="00B0302D"/>
    <w:rsid w:val="00B0410D"/>
    <w:rsid w:val="00B10CCF"/>
    <w:rsid w:val="00B13923"/>
    <w:rsid w:val="00B15F1B"/>
    <w:rsid w:val="00B1647F"/>
    <w:rsid w:val="00B21A18"/>
    <w:rsid w:val="00B22C2E"/>
    <w:rsid w:val="00B31C08"/>
    <w:rsid w:val="00B36EAD"/>
    <w:rsid w:val="00B45EC2"/>
    <w:rsid w:val="00B470E2"/>
    <w:rsid w:val="00B50636"/>
    <w:rsid w:val="00B50B88"/>
    <w:rsid w:val="00B53671"/>
    <w:rsid w:val="00B66E4D"/>
    <w:rsid w:val="00B739FC"/>
    <w:rsid w:val="00B74592"/>
    <w:rsid w:val="00B77172"/>
    <w:rsid w:val="00B8091F"/>
    <w:rsid w:val="00B80E68"/>
    <w:rsid w:val="00B85B96"/>
    <w:rsid w:val="00B95920"/>
    <w:rsid w:val="00BB50D1"/>
    <w:rsid w:val="00BB6FA4"/>
    <w:rsid w:val="00BC6B89"/>
    <w:rsid w:val="00BC773E"/>
    <w:rsid w:val="00BF6D92"/>
    <w:rsid w:val="00C1358B"/>
    <w:rsid w:val="00C154A7"/>
    <w:rsid w:val="00C174ED"/>
    <w:rsid w:val="00C2036C"/>
    <w:rsid w:val="00C20C0E"/>
    <w:rsid w:val="00C213AB"/>
    <w:rsid w:val="00C2168B"/>
    <w:rsid w:val="00C2401F"/>
    <w:rsid w:val="00C26D3B"/>
    <w:rsid w:val="00C310CF"/>
    <w:rsid w:val="00C34321"/>
    <w:rsid w:val="00C40FF8"/>
    <w:rsid w:val="00C43218"/>
    <w:rsid w:val="00C47CE9"/>
    <w:rsid w:val="00C56F3D"/>
    <w:rsid w:val="00C63136"/>
    <w:rsid w:val="00C653DD"/>
    <w:rsid w:val="00C7116D"/>
    <w:rsid w:val="00C83BEF"/>
    <w:rsid w:val="00C86846"/>
    <w:rsid w:val="00C93438"/>
    <w:rsid w:val="00CA08C8"/>
    <w:rsid w:val="00CA5532"/>
    <w:rsid w:val="00CB297E"/>
    <w:rsid w:val="00CB375F"/>
    <w:rsid w:val="00CB5978"/>
    <w:rsid w:val="00CB6AA3"/>
    <w:rsid w:val="00CB7C89"/>
    <w:rsid w:val="00CD597D"/>
    <w:rsid w:val="00CD618B"/>
    <w:rsid w:val="00CD6243"/>
    <w:rsid w:val="00CD6544"/>
    <w:rsid w:val="00CD72DA"/>
    <w:rsid w:val="00CE3BB7"/>
    <w:rsid w:val="00CE44D4"/>
    <w:rsid w:val="00CE59AE"/>
    <w:rsid w:val="00D00D95"/>
    <w:rsid w:val="00D1087E"/>
    <w:rsid w:val="00D1411E"/>
    <w:rsid w:val="00D14EBD"/>
    <w:rsid w:val="00D16F91"/>
    <w:rsid w:val="00D17A86"/>
    <w:rsid w:val="00D22F86"/>
    <w:rsid w:val="00D26F59"/>
    <w:rsid w:val="00D32656"/>
    <w:rsid w:val="00D36F2E"/>
    <w:rsid w:val="00D5669C"/>
    <w:rsid w:val="00D60C08"/>
    <w:rsid w:val="00D6531C"/>
    <w:rsid w:val="00D728FD"/>
    <w:rsid w:val="00D869F8"/>
    <w:rsid w:val="00D907C7"/>
    <w:rsid w:val="00D950A8"/>
    <w:rsid w:val="00D9707B"/>
    <w:rsid w:val="00D97468"/>
    <w:rsid w:val="00DA4CCE"/>
    <w:rsid w:val="00DB1608"/>
    <w:rsid w:val="00DB4152"/>
    <w:rsid w:val="00DD66C2"/>
    <w:rsid w:val="00DE05F4"/>
    <w:rsid w:val="00DE4A27"/>
    <w:rsid w:val="00DE73EC"/>
    <w:rsid w:val="00DF08AD"/>
    <w:rsid w:val="00DF2DB0"/>
    <w:rsid w:val="00DF3C7A"/>
    <w:rsid w:val="00DF4C1B"/>
    <w:rsid w:val="00E01F2B"/>
    <w:rsid w:val="00E04ACF"/>
    <w:rsid w:val="00E05A69"/>
    <w:rsid w:val="00E113B6"/>
    <w:rsid w:val="00E13444"/>
    <w:rsid w:val="00E178E6"/>
    <w:rsid w:val="00E3325C"/>
    <w:rsid w:val="00E35301"/>
    <w:rsid w:val="00E4069C"/>
    <w:rsid w:val="00E42E69"/>
    <w:rsid w:val="00E43932"/>
    <w:rsid w:val="00E5596D"/>
    <w:rsid w:val="00E62E8E"/>
    <w:rsid w:val="00E77546"/>
    <w:rsid w:val="00E836BE"/>
    <w:rsid w:val="00E904B9"/>
    <w:rsid w:val="00E94B12"/>
    <w:rsid w:val="00E95D8C"/>
    <w:rsid w:val="00EA1ACA"/>
    <w:rsid w:val="00EA30D8"/>
    <w:rsid w:val="00EA4571"/>
    <w:rsid w:val="00EB54DF"/>
    <w:rsid w:val="00EC4D37"/>
    <w:rsid w:val="00EC556D"/>
    <w:rsid w:val="00EC72BE"/>
    <w:rsid w:val="00ED069F"/>
    <w:rsid w:val="00ED098B"/>
    <w:rsid w:val="00ED1210"/>
    <w:rsid w:val="00ED41F5"/>
    <w:rsid w:val="00ED6D64"/>
    <w:rsid w:val="00ED77E9"/>
    <w:rsid w:val="00EF0E53"/>
    <w:rsid w:val="00F03B00"/>
    <w:rsid w:val="00F12DD2"/>
    <w:rsid w:val="00F222F4"/>
    <w:rsid w:val="00F2420E"/>
    <w:rsid w:val="00F24BB5"/>
    <w:rsid w:val="00F25BB9"/>
    <w:rsid w:val="00F2743A"/>
    <w:rsid w:val="00F358E9"/>
    <w:rsid w:val="00F36B51"/>
    <w:rsid w:val="00F37DC4"/>
    <w:rsid w:val="00F4383E"/>
    <w:rsid w:val="00F441C1"/>
    <w:rsid w:val="00F44CB7"/>
    <w:rsid w:val="00F4555D"/>
    <w:rsid w:val="00F51CFF"/>
    <w:rsid w:val="00F51F03"/>
    <w:rsid w:val="00F55A59"/>
    <w:rsid w:val="00F60AE1"/>
    <w:rsid w:val="00F631C7"/>
    <w:rsid w:val="00F64B34"/>
    <w:rsid w:val="00F65E01"/>
    <w:rsid w:val="00F76FA5"/>
    <w:rsid w:val="00F816B6"/>
    <w:rsid w:val="00F958DF"/>
    <w:rsid w:val="00F96D71"/>
    <w:rsid w:val="00FA58A4"/>
    <w:rsid w:val="00FA5AB2"/>
    <w:rsid w:val="00FB7FF5"/>
    <w:rsid w:val="00FC7BCA"/>
    <w:rsid w:val="00FD18B4"/>
    <w:rsid w:val="00FD4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3B2C1"/>
  <w14:defaultImageDpi w14:val="32767"/>
  <w15:chartTrackingRefBased/>
  <w15:docId w15:val="{4444BF7A-9AB7-45C2-A317-76A939DEF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71E"/>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52542"/>
    <w:rPr>
      <w:color w:val="0000FF"/>
      <w:u w:val="single"/>
    </w:rPr>
  </w:style>
  <w:style w:type="paragraph" w:customStyle="1" w:styleId="-11">
    <w:name w:val="彩色列表 - 着色 11"/>
    <w:basedOn w:val="a"/>
    <w:uiPriority w:val="34"/>
    <w:qFormat/>
    <w:rsid w:val="001113AB"/>
    <w:pPr>
      <w:ind w:firstLineChars="200" w:firstLine="420"/>
    </w:pPr>
  </w:style>
  <w:style w:type="paragraph" w:styleId="a4">
    <w:name w:val="header"/>
    <w:basedOn w:val="a"/>
    <w:link w:val="a5"/>
    <w:uiPriority w:val="99"/>
    <w:unhideWhenUsed/>
    <w:rsid w:val="0099089D"/>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rsid w:val="0099089D"/>
    <w:rPr>
      <w:rFonts w:ascii="Times New Roman" w:hAnsi="Times New Roman"/>
      <w:kern w:val="2"/>
      <w:sz w:val="18"/>
      <w:szCs w:val="18"/>
    </w:rPr>
  </w:style>
  <w:style w:type="paragraph" w:styleId="a6">
    <w:name w:val="footer"/>
    <w:basedOn w:val="a"/>
    <w:link w:val="a7"/>
    <w:uiPriority w:val="99"/>
    <w:unhideWhenUsed/>
    <w:rsid w:val="0099089D"/>
    <w:pPr>
      <w:tabs>
        <w:tab w:val="center" w:pos="4153"/>
        <w:tab w:val="right" w:pos="8306"/>
      </w:tabs>
      <w:snapToGrid w:val="0"/>
      <w:jc w:val="left"/>
    </w:pPr>
    <w:rPr>
      <w:sz w:val="18"/>
      <w:szCs w:val="18"/>
    </w:rPr>
  </w:style>
  <w:style w:type="character" w:customStyle="1" w:styleId="a7">
    <w:name w:val="页脚 字符"/>
    <w:link w:val="a6"/>
    <w:uiPriority w:val="99"/>
    <w:rsid w:val="0099089D"/>
    <w:rPr>
      <w:rFonts w:ascii="Times New Roman" w:hAnsi="Times New Roman"/>
      <w:kern w:val="2"/>
      <w:sz w:val="18"/>
      <w:szCs w:val="18"/>
    </w:rPr>
  </w:style>
  <w:style w:type="paragraph" w:styleId="a8">
    <w:name w:val="Normal (Web)"/>
    <w:basedOn w:val="a"/>
    <w:uiPriority w:val="99"/>
    <w:semiHidden/>
    <w:unhideWhenUsed/>
    <w:rsid w:val="00F4555D"/>
    <w:pPr>
      <w:widowControl/>
      <w:spacing w:before="144" w:after="144" w:line="432" w:lineRule="atLeast"/>
      <w:ind w:left="192" w:right="192" w:firstLine="480"/>
    </w:pPr>
    <w:rPr>
      <w:rFonts w:ascii="宋体" w:hAnsi="宋体" w:cs="宋体"/>
      <w:kern w:val="0"/>
      <w:sz w:val="24"/>
    </w:rPr>
  </w:style>
  <w:style w:type="character" w:customStyle="1" w:styleId="apple-style-span">
    <w:name w:val="apple-style-span"/>
    <w:rsid w:val="002740AF"/>
  </w:style>
  <w:style w:type="paragraph" w:styleId="a9">
    <w:name w:val="List Paragraph"/>
    <w:basedOn w:val="a"/>
    <w:uiPriority w:val="34"/>
    <w:qFormat/>
    <w:rsid w:val="00C63136"/>
    <w:pPr>
      <w:ind w:firstLineChars="200" w:firstLine="420"/>
    </w:pPr>
    <w:rPr>
      <w:rFonts w:ascii="Calibri" w:hAnsi="Calibri"/>
      <w:szCs w:val="22"/>
    </w:rPr>
  </w:style>
  <w:style w:type="table" w:styleId="aa">
    <w:name w:val="Table Grid"/>
    <w:basedOn w:val="a1"/>
    <w:uiPriority w:val="59"/>
    <w:rsid w:val="0018071E"/>
    <w:rPr>
      <w:rFonts w:asciiTheme="minorHAnsi" w:eastAsia="Times New Roman"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C20C0E"/>
    <w:pPr>
      <w:widowControl/>
      <w:spacing w:line="480" w:lineRule="auto"/>
    </w:pPr>
    <w:rPr>
      <w:rFonts w:eastAsia="等线"/>
      <w:kern w:val="0"/>
      <w:sz w:val="24"/>
      <w:szCs w:val="20"/>
      <w:lang w:eastAsia="en-US"/>
    </w:rPr>
  </w:style>
  <w:style w:type="character" w:customStyle="1" w:styleId="ac">
    <w:name w:val="正文文本 字符"/>
    <w:basedOn w:val="a0"/>
    <w:link w:val="ab"/>
    <w:rsid w:val="00C20C0E"/>
    <w:rPr>
      <w:rFonts w:ascii="Times New Roman" w:eastAsia="等线" w:hAnsi="Times New Roman"/>
      <w:sz w:val="24"/>
      <w:lang w:eastAsia="en-US"/>
    </w:rPr>
  </w:style>
  <w:style w:type="paragraph" w:customStyle="1" w:styleId="WW-BodyText3">
    <w:name w:val="WW-Body Text 3"/>
    <w:basedOn w:val="a"/>
    <w:rsid w:val="00C20C0E"/>
    <w:pPr>
      <w:tabs>
        <w:tab w:val="left" w:pos="720"/>
        <w:tab w:val="left" w:pos="1160"/>
        <w:tab w:val="left" w:pos="1980"/>
        <w:tab w:val="left" w:pos="2700"/>
        <w:tab w:val="left" w:pos="3420"/>
        <w:tab w:val="left" w:pos="4140"/>
        <w:tab w:val="left" w:pos="4860"/>
        <w:tab w:val="left" w:pos="5580"/>
        <w:tab w:val="left" w:pos="6300"/>
        <w:tab w:val="left" w:pos="7020"/>
        <w:tab w:val="left" w:pos="7740"/>
      </w:tabs>
      <w:suppressAutoHyphens/>
    </w:pPr>
    <w:rPr>
      <w:rFonts w:eastAsia="等线"/>
      <w:b/>
      <w:bCs/>
      <w:kern w:val="0"/>
      <w:sz w:val="22"/>
      <w:szCs w:val="22"/>
      <w:lang w:eastAsia="ar-SA"/>
    </w:rPr>
  </w:style>
  <w:style w:type="paragraph" w:customStyle="1" w:styleId="Default">
    <w:name w:val="Default"/>
    <w:rsid w:val="005532FE"/>
    <w:pPr>
      <w:widowControl w:val="0"/>
      <w:autoSpaceDE w:val="0"/>
      <w:autoSpaceDN w:val="0"/>
      <w:adjustRightInd w:val="0"/>
    </w:pPr>
    <w:rPr>
      <w:rFonts w:ascii="Times New Roman" w:hAnsi="Times New Roman"/>
      <w:color w:val="000000"/>
      <w:sz w:val="24"/>
      <w:szCs w:val="24"/>
    </w:rPr>
  </w:style>
  <w:style w:type="paragraph" w:customStyle="1" w:styleId="body-paragraph6">
    <w:name w:val="body-paragraph6"/>
    <w:basedOn w:val="a"/>
    <w:rsid w:val="001324CC"/>
    <w:pPr>
      <w:widowControl/>
      <w:spacing w:before="100" w:beforeAutospacing="1" w:after="100" w:afterAutospacing="1"/>
      <w:ind w:left="600" w:hanging="600"/>
      <w:jc w:val="left"/>
    </w:pPr>
    <w:rPr>
      <w:rFonts w:ascii="宋体" w:hAnsi="宋体" w:cs="宋体"/>
      <w:kern w:val="0"/>
      <w:sz w:val="24"/>
    </w:rPr>
  </w:style>
  <w:style w:type="paragraph" w:styleId="ad">
    <w:name w:val="No Spacing"/>
    <w:link w:val="ae"/>
    <w:uiPriority w:val="1"/>
    <w:qFormat/>
    <w:rsid w:val="00030ABA"/>
    <w:rPr>
      <w:sz w:val="22"/>
      <w:szCs w:val="22"/>
    </w:rPr>
  </w:style>
  <w:style w:type="character" w:customStyle="1" w:styleId="ae">
    <w:name w:val="无间隔 字符"/>
    <w:link w:val="ad"/>
    <w:uiPriority w:val="1"/>
    <w:rsid w:val="00030ABA"/>
    <w:rPr>
      <w:sz w:val="22"/>
      <w:szCs w:val="22"/>
    </w:rPr>
  </w:style>
  <w:style w:type="character" w:styleId="af">
    <w:name w:val="Strong"/>
    <w:basedOn w:val="a0"/>
    <w:uiPriority w:val="22"/>
    <w:qFormat/>
    <w:rsid w:val="00A47BED"/>
    <w:rPr>
      <w:b/>
      <w:bCs/>
    </w:rPr>
  </w:style>
  <w:style w:type="character" w:styleId="af0">
    <w:name w:val="Emphasis"/>
    <w:basedOn w:val="a0"/>
    <w:uiPriority w:val="20"/>
    <w:qFormat/>
    <w:rsid w:val="00A47BED"/>
    <w:rPr>
      <w:i/>
      <w:iCs/>
    </w:rPr>
  </w:style>
  <w:style w:type="character" w:styleId="af1">
    <w:name w:val="Unresolved Mention"/>
    <w:basedOn w:val="a0"/>
    <w:uiPriority w:val="99"/>
    <w:semiHidden/>
    <w:unhideWhenUsed/>
    <w:rsid w:val="0050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3174">
      <w:bodyDiv w:val="1"/>
      <w:marLeft w:val="0"/>
      <w:marRight w:val="0"/>
      <w:marTop w:val="0"/>
      <w:marBottom w:val="0"/>
      <w:divBdr>
        <w:top w:val="none" w:sz="0" w:space="0" w:color="auto"/>
        <w:left w:val="none" w:sz="0" w:space="0" w:color="auto"/>
        <w:bottom w:val="none" w:sz="0" w:space="0" w:color="auto"/>
        <w:right w:val="none" w:sz="0" w:space="0" w:color="auto"/>
      </w:divBdr>
      <w:divsChild>
        <w:div w:id="1731421221">
          <w:marLeft w:val="547"/>
          <w:marRight w:val="0"/>
          <w:marTop w:val="115"/>
          <w:marBottom w:val="0"/>
          <w:divBdr>
            <w:top w:val="none" w:sz="0" w:space="0" w:color="auto"/>
            <w:left w:val="none" w:sz="0" w:space="0" w:color="auto"/>
            <w:bottom w:val="none" w:sz="0" w:space="0" w:color="auto"/>
            <w:right w:val="none" w:sz="0" w:space="0" w:color="auto"/>
          </w:divBdr>
        </w:div>
      </w:divsChild>
    </w:div>
    <w:div w:id="107628446">
      <w:bodyDiv w:val="1"/>
      <w:marLeft w:val="0"/>
      <w:marRight w:val="0"/>
      <w:marTop w:val="0"/>
      <w:marBottom w:val="0"/>
      <w:divBdr>
        <w:top w:val="none" w:sz="0" w:space="0" w:color="auto"/>
        <w:left w:val="none" w:sz="0" w:space="0" w:color="auto"/>
        <w:bottom w:val="none" w:sz="0" w:space="0" w:color="auto"/>
        <w:right w:val="none" w:sz="0" w:space="0" w:color="auto"/>
      </w:divBdr>
    </w:div>
    <w:div w:id="108083837">
      <w:bodyDiv w:val="1"/>
      <w:marLeft w:val="0"/>
      <w:marRight w:val="0"/>
      <w:marTop w:val="0"/>
      <w:marBottom w:val="0"/>
      <w:divBdr>
        <w:top w:val="none" w:sz="0" w:space="0" w:color="auto"/>
        <w:left w:val="none" w:sz="0" w:space="0" w:color="auto"/>
        <w:bottom w:val="none" w:sz="0" w:space="0" w:color="auto"/>
        <w:right w:val="none" w:sz="0" w:space="0" w:color="auto"/>
      </w:divBdr>
    </w:div>
    <w:div w:id="114954807">
      <w:bodyDiv w:val="1"/>
      <w:marLeft w:val="0"/>
      <w:marRight w:val="0"/>
      <w:marTop w:val="0"/>
      <w:marBottom w:val="0"/>
      <w:divBdr>
        <w:top w:val="none" w:sz="0" w:space="0" w:color="auto"/>
        <w:left w:val="none" w:sz="0" w:space="0" w:color="auto"/>
        <w:bottom w:val="none" w:sz="0" w:space="0" w:color="auto"/>
        <w:right w:val="none" w:sz="0" w:space="0" w:color="auto"/>
      </w:divBdr>
    </w:div>
    <w:div w:id="138419864">
      <w:bodyDiv w:val="1"/>
      <w:marLeft w:val="0"/>
      <w:marRight w:val="0"/>
      <w:marTop w:val="0"/>
      <w:marBottom w:val="0"/>
      <w:divBdr>
        <w:top w:val="none" w:sz="0" w:space="0" w:color="auto"/>
        <w:left w:val="none" w:sz="0" w:space="0" w:color="auto"/>
        <w:bottom w:val="none" w:sz="0" w:space="0" w:color="auto"/>
        <w:right w:val="none" w:sz="0" w:space="0" w:color="auto"/>
      </w:divBdr>
      <w:divsChild>
        <w:div w:id="2127191370">
          <w:marLeft w:val="0"/>
          <w:marRight w:val="0"/>
          <w:marTop w:val="0"/>
          <w:marBottom w:val="0"/>
          <w:divBdr>
            <w:top w:val="none" w:sz="0" w:space="0" w:color="auto"/>
            <w:left w:val="none" w:sz="0" w:space="0" w:color="auto"/>
            <w:bottom w:val="none" w:sz="0" w:space="0" w:color="auto"/>
            <w:right w:val="none" w:sz="0" w:space="0" w:color="auto"/>
          </w:divBdr>
          <w:divsChild>
            <w:div w:id="775177294">
              <w:marLeft w:val="0"/>
              <w:marRight w:val="0"/>
              <w:marTop w:val="0"/>
              <w:marBottom w:val="0"/>
              <w:divBdr>
                <w:top w:val="none" w:sz="0" w:space="0" w:color="auto"/>
                <w:left w:val="none" w:sz="0" w:space="0" w:color="auto"/>
                <w:bottom w:val="none" w:sz="0" w:space="0" w:color="auto"/>
                <w:right w:val="none" w:sz="0" w:space="0" w:color="auto"/>
              </w:divBdr>
              <w:divsChild>
                <w:div w:id="496700248">
                  <w:marLeft w:val="90"/>
                  <w:marRight w:val="90"/>
                  <w:marTop w:val="90"/>
                  <w:marBottom w:val="90"/>
                  <w:divBdr>
                    <w:top w:val="none" w:sz="0" w:space="0" w:color="auto"/>
                    <w:left w:val="none" w:sz="0" w:space="0" w:color="auto"/>
                    <w:bottom w:val="none" w:sz="0" w:space="0" w:color="auto"/>
                    <w:right w:val="none" w:sz="0" w:space="0" w:color="auto"/>
                  </w:divBdr>
                  <w:divsChild>
                    <w:div w:id="1571115425">
                      <w:marLeft w:val="0"/>
                      <w:marRight w:val="0"/>
                      <w:marTop w:val="0"/>
                      <w:marBottom w:val="0"/>
                      <w:divBdr>
                        <w:top w:val="none" w:sz="0" w:space="0" w:color="auto"/>
                        <w:left w:val="none" w:sz="0" w:space="0" w:color="auto"/>
                        <w:bottom w:val="none" w:sz="0" w:space="0" w:color="auto"/>
                        <w:right w:val="none" w:sz="0" w:space="0" w:color="auto"/>
                      </w:divBdr>
                      <w:divsChild>
                        <w:div w:id="451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44886">
      <w:bodyDiv w:val="1"/>
      <w:marLeft w:val="0"/>
      <w:marRight w:val="0"/>
      <w:marTop w:val="0"/>
      <w:marBottom w:val="0"/>
      <w:divBdr>
        <w:top w:val="none" w:sz="0" w:space="0" w:color="auto"/>
        <w:left w:val="none" w:sz="0" w:space="0" w:color="auto"/>
        <w:bottom w:val="none" w:sz="0" w:space="0" w:color="auto"/>
        <w:right w:val="none" w:sz="0" w:space="0" w:color="auto"/>
      </w:divBdr>
    </w:div>
    <w:div w:id="179902611">
      <w:bodyDiv w:val="1"/>
      <w:marLeft w:val="0"/>
      <w:marRight w:val="0"/>
      <w:marTop w:val="0"/>
      <w:marBottom w:val="0"/>
      <w:divBdr>
        <w:top w:val="none" w:sz="0" w:space="0" w:color="auto"/>
        <w:left w:val="none" w:sz="0" w:space="0" w:color="auto"/>
        <w:bottom w:val="none" w:sz="0" w:space="0" w:color="auto"/>
        <w:right w:val="none" w:sz="0" w:space="0" w:color="auto"/>
      </w:divBdr>
      <w:divsChild>
        <w:div w:id="196622345">
          <w:marLeft w:val="446"/>
          <w:marRight w:val="0"/>
          <w:marTop w:val="72"/>
          <w:marBottom w:val="120"/>
          <w:divBdr>
            <w:top w:val="none" w:sz="0" w:space="0" w:color="auto"/>
            <w:left w:val="none" w:sz="0" w:space="0" w:color="auto"/>
            <w:bottom w:val="none" w:sz="0" w:space="0" w:color="auto"/>
            <w:right w:val="none" w:sz="0" w:space="0" w:color="auto"/>
          </w:divBdr>
        </w:div>
        <w:div w:id="1368339126">
          <w:marLeft w:val="446"/>
          <w:marRight w:val="0"/>
          <w:marTop w:val="72"/>
          <w:marBottom w:val="120"/>
          <w:divBdr>
            <w:top w:val="none" w:sz="0" w:space="0" w:color="auto"/>
            <w:left w:val="none" w:sz="0" w:space="0" w:color="auto"/>
            <w:bottom w:val="none" w:sz="0" w:space="0" w:color="auto"/>
            <w:right w:val="none" w:sz="0" w:space="0" w:color="auto"/>
          </w:divBdr>
        </w:div>
        <w:div w:id="2115586092">
          <w:marLeft w:val="446"/>
          <w:marRight w:val="0"/>
          <w:marTop w:val="72"/>
          <w:marBottom w:val="120"/>
          <w:divBdr>
            <w:top w:val="none" w:sz="0" w:space="0" w:color="auto"/>
            <w:left w:val="none" w:sz="0" w:space="0" w:color="auto"/>
            <w:bottom w:val="none" w:sz="0" w:space="0" w:color="auto"/>
            <w:right w:val="none" w:sz="0" w:space="0" w:color="auto"/>
          </w:divBdr>
        </w:div>
        <w:div w:id="900598891">
          <w:marLeft w:val="446"/>
          <w:marRight w:val="0"/>
          <w:marTop w:val="72"/>
          <w:marBottom w:val="120"/>
          <w:divBdr>
            <w:top w:val="none" w:sz="0" w:space="0" w:color="auto"/>
            <w:left w:val="none" w:sz="0" w:space="0" w:color="auto"/>
            <w:bottom w:val="none" w:sz="0" w:space="0" w:color="auto"/>
            <w:right w:val="none" w:sz="0" w:space="0" w:color="auto"/>
          </w:divBdr>
        </w:div>
        <w:div w:id="895900305">
          <w:marLeft w:val="446"/>
          <w:marRight w:val="0"/>
          <w:marTop w:val="72"/>
          <w:marBottom w:val="120"/>
          <w:divBdr>
            <w:top w:val="none" w:sz="0" w:space="0" w:color="auto"/>
            <w:left w:val="none" w:sz="0" w:space="0" w:color="auto"/>
            <w:bottom w:val="none" w:sz="0" w:space="0" w:color="auto"/>
            <w:right w:val="none" w:sz="0" w:space="0" w:color="auto"/>
          </w:divBdr>
        </w:div>
        <w:div w:id="770975570">
          <w:marLeft w:val="446"/>
          <w:marRight w:val="0"/>
          <w:marTop w:val="72"/>
          <w:marBottom w:val="120"/>
          <w:divBdr>
            <w:top w:val="none" w:sz="0" w:space="0" w:color="auto"/>
            <w:left w:val="none" w:sz="0" w:space="0" w:color="auto"/>
            <w:bottom w:val="none" w:sz="0" w:space="0" w:color="auto"/>
            <w:right w:val="none" w:sz="0" w:space="0" w:color="auto"/>
          </w:divBdr>
        </w:div>
      </w:divsChild>
    </w:div>
    <w:div w:id="182012059">
      <w:bodyDiv w:val="1"/>
      <w:marLeft w:val="0"/>
      <w:marRight w:val="0"/>
      <w:marTop w:val="0"/>
      <w:marBottom w:val="0"/>
      <w:divBdr>
        <w:top w:val="none" w:sz="0" w:space="0" w:color="auto"/>
        <w:left w:val="none" w:sz="0" w:space="0" w:color="auto"/>
        <w:bottom w:val="none" w:sz="0" w:space="0" w:color="auto"/>
        <w:right w:val="none" w:sz="0" w:space="0" w:color="auto"/>
      </w:divBdr>
      <w:divsChild>
        <w:div w:id="1906640009">
          <w:marLeft w:val="1397"/>
          <w:marRight w:val="0"/>
          <w:marTop w:val="115"/>
          <w:marBottom w:val="0"/>
          <w:divBdr>
            <w:top w:val="none" w:sz="0" w:space="0" w:color="auto"/>
            <w:left w:val="none" w:sz="0" w:space="0" w:color="auto"/>
            <w:bottom w:val="none" w:sz="0" w:space="0" w:color="auto"/>
            <w:right w:val="none" w:sz="0" w:space="0" w:color="auto"/>
          </w:divBdr>
        </w:div>
      </w:divsChild>
    </w:div>
    <w:div w:id="214974394">
      <w:bodyDiv w:val="1"/>
      <w:marLeft w:val="0"/>
      <w:marRight w:val="0"/>
      <w:marTop w:val="0"/>
      <w:marBottom w:val="0"/>
      <w:divBdr>
        <w:top w:val="none" w:sz="0" w:space="0" w:color="auto"/>
        <w:left w:val="none" w:sz="0" w:space="0" w:color="auto"/>
        <w:bottom w:val="none" w:sz="0" w:space="0" w:color="auto"/>
        <w:right w:val="none" w:sz="0" w:space="0" w:color="auto"/>
      </w:divBdr>
    </w:div>
    <w:div w:id="242492219">
      <w:bodyDiv w:val="1"/>
      <w:marLeft w:val="0"/>
      <w:marRight w:val="0"/>
      <w:marTop w:val="0"/>
      <w:marBottom w:val="0"/>
      <w:divBdr>
        <w:top w:val="none" w:sz="0" w:space="0" w:color="auto"/>
        <w:left w:val="none" w:sz="0" w:space="0" w:color="auto"/>
        <w:bottom w:val="none" w:sz="0" w:space="0" w:color="auto"/>
        <w:right w:val="none" w:sz="0" w:space="0" w:color="auto"/>
      </w:divBdr>
    </w:div>
    <w:div w:id="248857391">
      <w:bodyDiv w:val="1"/>
      <w:marLeft w:val="0"/>
      <w:marRight w:val="0"/>
      <w:marTop w:val="0"/>
      <w:marBottom w:val="0"/>
      <w:divBdr>
        <w:top w:val="none" w:sz="0" w:space="0" w:color="auto"/>
        <w:left w:val="none" w:sz="0" w:space="0" w:color="auto"/>
        <w:bottom w:val="none" w:sz="0" w:space="0" w:color="auto"/>
        <w:right w:val="none" w:sz="0" w:space="0" w:color="auto"/>
      </w:divBdr>
    </w:div>
    <w:div w:id="319700525">
      <w:bodyDiv w:val="1"/>
      <w:marLeft w:val="0"/>
      <w:marRight w:val="0"/>
      <w:marTop w:val="0"/>
      <w:marBottom w:val="0"/>
      <w:divBdr>
        <w:top w:val="none" w:sz="0" w:space="0" w:color="auto"/>
        <w:left w:val="none" w:sz="0" w:space="0" w:color="auto"/>
        <w:bottom w:val="none" w:sz="0" w:space="0" w:color="auto"/>
        <w:right w:val="none" w:sz="0" w:space="0" w:color="auto"/>
      </w:divBdr>
      <w:divsChild>
        <w:div w:id="1146822752">
          <w:marLeft w:val="1166"/>
          <w:marRight w:val="0"/>
          <w:marTop w:val="115"/>
          <w:marBottom w:val="0"/>
          <w:divBdr>
            <w:top w:val="none" w:sz="0" w:space="0" w:color="auto"/>
            <w:left w:val="none" w:sz="0" w:space="0" w:color="auto"/>
            <w:bottom w:val="none" w:sz="0" w:space="0" w:color="auto"/>
            <w:right w:val="none" w:sz="0" w:space="0" w:color="auto"/>
          </w:divBdr>
        </w:div>
      </w:divsChild>
    </w:div>
    <w:div w:id="389429630">
      <w:bodyDiv w:val="1"/>
      <w:marLeft w:val="0"/>
      <w:marRight w:val="0"/>
      <w:marTop w:val="0"/>
      <w:marBottom w:val="0"/>
      <w:divBdr>
        <w:top w:val="none" w:sz="0" w:space="0" w:color="auto"/>
        <w:left w:val="none" w:sz="0" w:space="0" w:color="auto"/>
        <w:bottom w:val="none" w:sz="0" w:space="0" w:color="auto"/>
        <w:right w:val="none" w:sz="0" w:space="0" w:color="auto"/>
      </w:divBdr>
    </w:div>
    <w:div w:id="570189742">
      <w:bodyDiv w:val="1"/>
      <w:marLeft w:val="0"/>
      <w:marRight w:val="0"/>
      <w:marTop w:val="0"/>
      <w:marBottom w:val="0"/>
      <w:divBdr>
        <w:top w:val="none" w:sz="0" w:space="0" w:color="auto"/>
        <w:left w:val="none" w:sz="0" w:space="0" w:color="auto"/>
        <w:bottom w:val="none" w:sz="0" w:space="0" w:color="auto"/>
        <w:right w:val="none" w:sz="0" w:space="0" w:color="auto"/>
      </w:divBdr>
    </w:div>
    <w:div w:id="634067077">
      <w:bodyDiv w:val="1"/>
      <w:marLeft w:val="0"/>
      <w:marRight w:val="0"/>
      <w:marTop w:val="0"/>
      <w:marBottom w:val="0"/>
      <w:divBdr>
        <w:top w:val="none" w:sz="0" w:space="0" w:color="auto"/>
        <w:left w:val="none" w:sz="0" w:space="0" w:color="auto"/>
        <w:bottom w:val="none" w:sz="0" w:space="0" w:color="auto"/>
        <w:right w:val="none" w:sz="0" w:space="0" w:color="auto"/>
      </w:divBdr>
    </w:div>
    <w:div w:id="749810201">
      <w:bodyDiv w:val="1"/>
      <w:marLeft w:val="0"/>
      <w:marRight w:val="0"/>
      <w:marTop w:val="0"/>
      <w:marBottom w:val="0"/>
      <w:divBdr>
        <w:top w:val="none" w:sz="0" w:space="0" w:color="auto"/>
        <w:left w:val="none" w:sz="0" w:space="0" w:color="auto"/>
        <w:bottom w:val="none" w:sz="0" w:space="0" w:color="auto"/>
        <w:right w:val="none" w:sz="0" w:space="0" w:color="auto"/>
      </w:divBdr>
    </w:div>
    <w:div w:id="799223556">
      <w:bodyDiv w:val="1"/>
      <w:marLeft w:val="0"/>
      <w:marRight w:val="0"/>
      <w:marTop w:val="0"/>
      <w:marBottom w:val="0"/>
      <w:divBdr>
        <w:top w:val="none" w:sz="0" w:space="0" w:color="auto"/>
        <w:left w:val="none" w:sz="0" w:space="0" w:color="auto"/>
        <w:bottom w:val="none" w:sz="0" w:space="0" w:color="auto"/>
        <w:right w:val="none" w:sz="0" w:space="0" w:color="auto"/>
      </w:divBdr>
    </w:div>
    <w:div w:id="884877148">
      <w:bodyDiv w:val="1"/>
      <w:marLeft w:val="0"/>
      <w:marRight w:val="0"/>
      <w:marTop w:val="0"/>
      <w:marBottom w:val="0"/>
      <w:divBdr>
        <w:top w:val="none" w:sz="0" w:space="0" w:color="auto"/>
        <w:left w:val="none" w:sz="0" w:space="0" w:color="auto"/>
        <w:bottom w:val="none" w:sz="0" w:space="0" w:color="auto"/>
        <w:right w:val="none" w:sz="0" w:space="0" w:color="auto"/>
      </w:divBdr>
    </w:div>
    <w:div w:id="891891105">
      <w:bodyDiv w:val="1"/>
      <w:marLeft w:val="0"/>
      <w:marRight w:val="0"/>
      <w:marTop w:val="0"/>
      <w:marBottom w:val="0"/>
      <w:divBdr>
        <w:top w:val="none" w:sz="0" w:space="0" w:color="auto"/>
        <w:left w:val="none" w:sz="0" w:space="0" w:color="auto"/>
        <w:bottom w:val="none" w:sz="0" w:space="0" w:color="auto"/>
        <w:right w:val="none" w:sz="0" w:space="0" w:color="auto"/>
      </w:divBdr>
    </w:div>
    <w:div w:id="929505425">
      <w:bodyDiv w:val="1"/>
      <w:marLeft w:val="0"/>
      <w:marRight w:val="0"/>
      <w:marTop w:val="0"/>
      <w:marBottom w:val="0"/>
      <w:divBdr>
        <w:top w:val="none" w:sz="0" w:space="0" w:color="auto"/>
        <w:left w:val="none" w:sz="0" w:space="0" w:color="auto"/>
        <w:bottom w:val="none" w:sz="0" w:space="0" w:color="auto"/>
        <w:right w:val="none" w:sz="0" w:space="0" w:color="auto"/>
      </w:divBdr>
    </w:div>
    <w:div w:id="949506174">
      <w:bodyDiv w:val="1"/>
      <w:marLeft w:val="0"/>
      <w:marRight w:val="0"/>
      <w:marTop w:val="0"/>
      <w:marBottom w:val="0"/>
      <w:divBdr>
        <w:top w:val="none" w:sz="0" w:space="0" w:color="auto"/>
        <w:left w:val="none" w:sz="0" w:space="0" w:color="auto"/>
        <w:bottom w:val="none" w:sz="0" w:space="0" w:color="auto"/>
        <w:right w:val="none" w:sz="0" w:space="0" w:color="auto"/>
      </w:divBdr>
    </w:div>
    <w:div w:id="959998565">
      <w:bodyDiv w:val="1"/>
      <w:marLeft w:val="0"/>
      <w:marRight w:val="0"/>
      <w:marTop w:val="0"/>
      <w:marBottom w:val="0"/>
      <w:divBdr>
        <w:top w:val="none" w:sz="0" w:space="0" w:color="auto"/>
        <w:left w:val="none" w:sz="0" w:space="0" w:color="auto"/>
        <w:bottom w:val="none" w:sz="0" w:space="0" w:color="auto"/>
        <w:right w:val="none" w:sz="0" w:space="0" w:color="auto"/>
      </w:divBdr>
      <w:divsChild>
        <w:div w:id="803888289">
          <w:marLeft w:val="1080"/>
          <w:marRight w:val="0"/>
          <w:marTop w:val="0"/>
          <w:marBottom w:val="0"/>
          <w:divBdr>
            <w:top w:val="none" w:sz="0" w:space="0" w:color="auto"/>
            <w:left w:val="none" w:sz="0" w:space="0" w:color="auto"/>
            <w:bottom w:val="none" w:sz="0" w:space="0" w:color="auto"/>
            <w:right w:val="none" w:sz="0" w:space="0" w:color="auto"/>
          </w:divBdr>
        </w:div>
      </w:divsChild>
    </w:div>
    <w:div w:id="982928722">
      <w:bodyDiv w:val="1"/>
      <w:marLeft w:val="0"/>
      <w:marRight w:val="0"/>
      <w:marTop w:val="0"/>
      <w:marBottom w:val="0"/>
      <w:divBdr>
        <w:top w:val="none" w:sz="0" w:space="0" w:color="auto"/>
        <w:left w:val="none" w:sz="0" w:space="0" w:color="auto"/>
        <w:bottom w:val="none" w:sz="0" w:space="0" w:color="auto"/>
        <w:right w:val="none" w:sz="0" w:space="0" w:color="auto"/>
      </w:divBdr>
      <w:divsChild>
        <w:div w:id="253590988">
          <w:marLeft w:val="0"/>
          <w:marRight w:val="0"/>
          <w:marTop w:val="0"/>
          <w:marBottom w:val="0"/>
          <w:divBdr>
            <w:top w:val="none" w:sz="0" w:space="0" w:color="auto"/>
            <w:left w:val="none" w:sz="0" w:space="0" w:color="auto"/>
            <w:bottom w:val="none" w:sz="0" w:space="0" w:color="auto"/>
            <w:right w:val="none" w:sz="0" w:space="0" w:color="auto"/>
          </w:divBdr>
          <w:divsChild>
            <w:div w:id="792865261">
              <w:marLeft w:val="0"/>
              <w:marRight w:val="0"/>
              <w:marTop w:val="0"/>
              <w:marBottom w:val="0"/>
              <w:divBdr>
                <w:top w:val="none" w:sz="0" w:space="0" w:color="auto"/>
                <w:left w:val="none" w:sz="0" w:space="0" w:color="auto"/>
                <w:bottom w:val="none" w:sz="0" w:space="0" w:color="auto"/>
                <w:right w:val="none" w:sz="0" w:space="0" w:color="auto"/>
              </w:divBdr>
              <w:divsChild>
                <w:div w:id="1262299370">
                  <w:marLeft w:val="90"/>
                  <w:marRight w:val="90"/>
                  <w:marTop w:val="90"/>
                  <w:marBottom w:val="90"/>
                  <w:divBdr>
                    <w:top w:val="none" w:sz="0" w:space="0" w:color="auto"/>
                    <w:left w:val="none" w:sz="0" w:space="0" w:color="auto"/>
                    <w:bottom w:val="none" w:sz="0" w:space="0" w:color="auto"/>
                    <w:right w:val="none" w:sz="0" w:space="0" w:color="auto"/>
                  </w:divBdr>
                  <w:divsChild>
                    <w:div w:id="931283494">
                      <w:marLeft w:val="0"/>
                      <w:marRight w:val="0"/>
                      <w:marTop w:val="0"/>
                      <w:marBottom w:val="0"/>
                      <w:divBdr>
                        <w:top w:val="none" w:sz="0" w:space="0" w:color="auto"/>
                        <w:left w:val="none" w:sz="0" w:space="0" w:color="auto"/>
                        <w:bottom w:val="none" w:sz="0" w:space="0" w:color="auto"/>
                        <w:right w:val="none" w:sz="0" w:space="0" w:color="auto"/>
                      </w:divBdr>
                      <w:divsChild>
                        <w:div w:id="23620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516080">
      <w:bodyDiv w:val="1"/>
      <w:marLeft w:val="0"/>
      <w:marRight w:val="0"/>
      <w:marTop w:val="0"/>
      <w:marBottom w:val="0"/>
      <w:divBdr>
        <w:top w:val="none" w:sz="0" w:space="0" w:color="auto"/>
        <w:left w:val="none" w:sz="0" w:space="0" w:color="auto"/>
        <w:bottom w:val="none" w:sz="0" w:space="0" w:color="auto"/>
        <w:right w:val="none" w:sz="0" w:space="0" w:color="auto"/>
      </w:divBdr>
      <w:divsChild>
        <w:div w:id="2084834370">
          <w:marLeft w:val="446"/>
          <w:marRight w:val="0"/>
          <w:marTop w:val="72"/>
          <w:marBottom w:val="120"/>
          <w:divBdr>
            <w:top w:val="none" w:sz="0" w:space="0" w:color="auto"/>
            <w:left w:val="none" w:sz="0" w:space="0" w:color="auto"/>
            <w:bottom w:val="none" w:sz="0" w:space="0" w:color="auto"/>
            <w:right w:val="none" w:sz="0" w:space="0" w:color="auto"/>
          </w:divBdr>
        </w:div>
        <w:div w:id="706182345">
          <w:marLeft w:val="446"/>
          <w:marRight w:val="0"/>
          <w:marTop w:val="72"/>
          <w:marBottom w:val="120"/>
          <w:divBdr>
            <w:top w:val="none" w:sz="0" w:space="0" w:color="auto"/>
            <w:left w:val="none" w:sz="0" w:space="0" w:color="auto"/>
            <w:bottom w:val="none" w:sz="0" w:space="0" w:color="auto"/>
            <w:right w:val="none" w:sz="0" w:space="0" w:color="auto"/>
          </w:divBdr>
        </w:div>
        <w:div w:id="655842053">
          <w:marLeft w:val="446"/>
          <w:marRight w:val="0"/>
          <w:marTop w:val="72"/>
          <w:marBottom w:val="120"/>
          <w:divBdr>
            <w:top w:val="none" w:sz="0" w:space="0" w:color="auto"/>
            <w:left w:val="none" w:sz="0" w:space="0" w:color="auto"/>
            <w:bottom w:val="none" w:sz="0" w:space="0" w:color="auto"/>
            <w:right w:val="none" w:sz="0" w:space="0" w:color="auto"/>
          </w:divBdr>
        </w:div>
        <w:div w:id="913247501">
          <w:marLeft w:val="446"/>
          <w:marRight w:val="0"/>
          <w:marTop w:val="72"/>
          <w:marBottom w:val="120"/>
          <w:divBdr>
            <w:top w:val="none" w:sz="0" w:space="0" w:color="auto"/>
            <w:left w:val="none" w:sz="0" w:space="0" w:color="auto"/>
            <w:bottom w:val="none" w:sz="0" w:space="0" w:color="auto"/>
            <w:right w:val="none" w:sz="0" w:space="0" w:color="auto"/>
          </w:divBdr>
        </w:div>
        <w:div w:id="13195817">
          <w:marLeft w:val="446"/>
          <w:marRight w:val="0"/>
          <w:marTop w:val="72"/>
          <w:marBottom w:val="120"/>
          <w:divBdr>
            <w:top w:val="none" w:sz="0" w:space="0" w:color="auto"/>
            <w:left w:val="none" w:sz="0" w:space="0" w:color="auto"/>
            <w:bottom w:val="none" w:sz="0" w:space="0" w:color="auto"/>
            <w:right w:val="none" w:sz="0" w:space="0" w:color="auto"/>
          </w:divBdr>
        </w:div>
        <w:div w:id="2000845507">
          <w:marLeft w:val="446"/>
          <w:marRight w:val="0"/>
          <w:marTop w:val="72"/>
          <w:marBottom w:val="120"/>
          <w:divBdr>
            <w:top w:val="none" w:sz="0" w:space="0" w:color="auto"/>
            <w:left w:val="none" w:sz="0" w:space="0" w:color="auto"/>
            <w:bottom w:val="none" w:sz="0" w:space="0" w:color="auto"/>
            <w:right w:val="none" w:sz="0" w:space="0" w:color="auto"/>
          </w:divBdr>
        </w:div>
      </w:divsChild>
    </w:div>
    <w:div w:id="1137989925">
      <w:bodyDiv w:val="1"/>
      <w:marLeft w:val="0"/>
      <w:marRight w:val="0"/>
      <w:marTop w:val="0"/>
      <w:marBottom w:val="0"/>
      <w:divBdr>
        <w:top w:val="none" w:sz="0" w:space="0" w:color="auto"/>
        <w:left w:val="none" w:sz="0" w:space="0" w:color="auto"/>
        <w:bottom w:val="none" w:sz="0" w:space="0" w:color="auto"/>
        <w:right w:val="none" w:sz="0" w:space="0" w:color="auto"/>
      </w:divBdr>
    </w:div>
    <w:div w:id="1180656904">
      <w:bodyDiv w:val="1"/>
      <w:marLeft w:val="0"/>
      <w:marRight w:val="0"/>
      <w:marTop w:val="0"/>
      <w:marBottom w:val="0"/>
      <w:divBdr>
        <w:top w:val="none" w:sz="0" w:space="0" w:color="auto"/>
        <w:left w:val="none" w:sz="0" w:space="0" w:color="auto"/>
        <w:bottom w:val="none" w:sz="0" w:space="0" w:color="auto"/>
        <w:right w:val="none" w:sz="0" w:space="0" w:color="auto"/>
      </w:divBdr>
    </w:div>
    <w:div w:id="1207333082">
      <w:bodyDiv w:val="1"/>
      <w:marLeft w:val="0"/>
      <w:marRight w:val="0"/>
      <w:marTop w:val="0"/>
      <w:marBottom w:val="0"/>
      <w:divBdr>
        <w:top w:val="none" w:sz="0" w:space="0" w:color="auto"/>
        <w:left w:val="none" w:sz="0" w:space="0" w:color="auto"/>
        <w:bottom w:val="none" w:sz="0" w:space="0" w:color="auto"/>
        <w:right w:val="none" w:sz="0" w:space="0" w:color="auto"/>
      </w:divBdr>
    </w:div>
    <w:div w:id="1214389284">
      <w:bodyDiv w:val="1"/>
      <w:marLeft w:val="0"/>
      <w:marRight w:val="0"/>
      <w:marTop w:val="0"/>
      <w:marBottom w:val="0"/>
      <w:divBdr>
        <w:top w:val="none" w:sz="0" w:space="0" w:color="auto"/>
        <w:left w:val="none" w:sz="0" w:space="0" w:color="auto"/>
        <w:bottom w:val="none" w:sz="0" w:space="0" w:color="auto"/>
        <w:right w:val="none" w:sz="0" w:space="0" w:color="auto"/>
      </w:divBdr>
    </w:div>
    <w:div w:id="1265379963">
      <w:bodyDiv w:val="1"/>
      <w:marLeft w:val="0"/>
      <w:marRight w:val="0"/>
      <w:marTop w:val="0"/>
      <w:marBottom w:val="0"/>
      <w:divBdr>
        <w:top w:val="none" w:sz="0" w:space="0" w:color="auto"/>
        <w:left w:val="none" w:sz="0" w:space="0" w:color="auto"/>
        <w:bottom w:val="none" w:sz="0" w:space="0" w:color="auto"/>
        <w:right w:val="none" w:sz="0" w:space="0" w:color="auto"/>
      </w:divBdr>
    </w:div>
    <w:div w:id="1274748260">
      <w:bodyDiv w:val="1"/>
      <w:marLeft w:val="0"/>
      <w:marRight w:val="0"/>
      <w:marTop w:val="0"/>
      <w:marBottom w:val="0"/>
      <w:divBdr>
        <w:top w:val="none" w:sz="0" w:space="0" w:color="auto"/>
        <w:left w:val="none" w:sz="0" w:space="0" w:color="auto"/>
        <w:bottom w:val="none" w:sz="0" w:space="0" w:color="auto"/>
        <w:right w:val="none" w:sz="0" w:space="0" w:color="auto"/>
      </w:divBdr>
    </w:div>
    <w:div w:id="1299872388">
      <w:bodyDiv w:val="1"/>
      <w:marLeft w:val="0"/>
      <w:marRight w:val="0"/>
      <w:marTop w:val="0"/>
      <w:marBottom w:val="0"/>
      <w:divBdr>
        <w:top w:val="none" w:sz="0" w:space="0" w:color="auto"/>
        <w:left w:val="none" w:sz="0" w:space="0" w:color="auto"/>
        <w:bottom w:val="none" w:sz="0" w:space="0" w:color="auto"/>
        <w:right w:val="none" w:sz="0" w:space="0" w:color="auto"/>
      </w:divBdr>
    </w:div>
    <w:div w:id="1346907787">
      <w:bodyDiv w:val="1"/>
      <w:marLeft w:val="0"/>
      <w:marRight w:val="0"/>
      <w:marTop w:val="0"/>
      <w:marBottom w:val="0"/>
      <w:divBdr>
        <w:top w:val="none" w:sz="0" w:space="0" w:color="auto"/>
        <w:left w:val="none" w:sz="0" w:space="0" w:color="auto"/>
        <w:bottom w:val="none" w:sz="0" w:space="0" w:color="auto"/>
        <w:right w:val="none" w:sz="0" w:space="0" w:color="auto"/>
      </w:divBdr>
    </w:div>
    <w:div w:id="1358893578">
      <w:bodyDiv w:val="1"/>
      <w:marLeft w:val="0"/>
      <w:marRight w:val="0"/>
      <w:marTop w:val="0"/>
      <w:marBottom w:val="0"/>
      <w:divBdr>
        <w:top w:val="none" w:sz="0" w:space="0" w:color="auto"/>
        <w:left w:val="none" w:sz="0" w:space="0" w:color="auto"/>
        <w:bottom w:val="none" w:sz="0" w:space="0" w:color="auto"/>
        <w:right w:val="none" w:sz="0" w:space="0" w:color="auto"/>
      </w:divBdr>
      <w:divsChild>
        <w:div w:id="1973172093">
          <w:marLeft w:val="706"/>
          <w:marRight w:val="0"/>
          <w:marTop w:val="134"/>
          <w:marBottom w:val="0"/>
          <w:divBdr>
            <w:top w:val="none" w:sz="0" w:space="0" w:color="auto"/>
            <w:left w:val="none" w:sz="0" w:space="0" w:color="auto"/>
            <w:bottom w:val="none" w:sz="0" w:space="0" w:color="auto"/>
            <w:right w:val="none" w:sz="0" w:space="0" w:color="auto"/>
          </w:divBdr>
        </w:div>
      </w:divsChild>
    </w:div>
    <w:div w:id="1526673372">
      <w:bodyDiv w:val="1"/>
      <w:marLeft w:val="0"/>
      <w:marRight w:val="0"/>
      <w:marTop w:val="0"/>
      <w:marBottom w:val="0"/>
      <w:divBdr>
        <w:top w:val="none" w:sz="0" w:space="0" w:color="auto"/>
        <w:left w:val="none" w:sz="0" w:space="0" w:color="auto"/>
        <w:bottom w:val="none" w:sz="0" w:space="0" w:color="auto"/>
        <w:right w:val="none" w:sz="0" w:space="0" w:color="auto"/>
      </w:divBdr>
      <w:divsChild>
        <w:div w:id="221912472">
          <w:marLeft w:val="446"/>
          <w:marRight w:val="0"/>
          <w:marTop w:val="115"/>
          <w:marBottom w:val="120"/>
          <w:divBdr>
            <w:top w:val="none" w:sz="0" w:space="0" w:color="auto"/>
            <w:left w:val="none" w:sz="0" w:space="0" w:color="auto"/>
            <w:bottom w:val="none" w:sz="0" w:space="0" w:color="auto"/>
            <w:right w:val="none" w:sz="0" w:space="0" w:color="auto"/>
          </w:divBdr>
        </w:div>
        <w:div w:id="1491555533">
          <w:marLeft w:val="446"/>
          <w:marRight w:val="0"/>
          <w:marTop w:val="115"/>
          <w:marBottom w:val="120"/>
          <w:divBdr>
            <w:top w:val="none" w:sz="0" w:space="0" w:color="auto"/>
            <w:left w:val="none" w:sz="0" w:space="0" w:color="auto"/>
            <w:bottom w:val="none" w:sz="0" w:space="0" w:color="auto"/>
            <w:right w:val="none" w:sz="0" w:space="0" w:color="auto"/>
          </w:divBdr>
        </w:div>
      </w:divsChild>
    </w:div>
    <w:div w:id="1582567471">
      <w:bodyDiv w:val="1"/>
      <w:marLeft w:val="0"/>
      <w:marRight w:val="0"/>
      <w:marTop w:val="0"/>
      <w:marBottom w:val="0"/>
      <w:divBdr>
        <w:top w:val="none" w:sz="0" w:space="0" w:color="auto"/>
        <w:left w:val="none" w:sz="0" w:space="0" w:color="auto"/>
        <w:bottom w:val="none" w:sz="0" w:space="0" w:color="auto"/>
        <w:right w:val="none" w:sz="0" w:space="0" w:color="auto"/>
      </w:divBdr>
    </w:div>
    <w:div w:id="1617447313">
      <w:bodyDiv w:val="1"/>
      <w:marLeft w:val="0"/>
      <w:marRight w:val="0"/>
      <w:marTop w:val="0"/>
      <w:marBottom w:val="0"/>
      <w:divBdr>
        <w:top w:val="none" w:sz="0" w:space="0" w:color="auto"/>
        <w:left w:val="none" w:sz="0" w:space="0" w:color="auto"/>
        <w:bottom w:val="none" w:sz="0" w:space="0" w:color="auto"/>
        <w:right w:val="none" w:sz="0" w:space="0" w:color="auto"/>
      </w:divBdr>
    </w:div>
    <w:div w:id="1704748816">
      <w:bodyDiv w:val="1"/>
      <w:marLeft w:val="0"/>
      <w:marRight w:val="0"/>
      <w:marTop w:val="0"/>
      <w:marBottom w:val="0"/>
      <w:divBdr>
        <w:top w:val="none" w:sz="0" w:space="0" w:color="auto"/>
        <w:left w:val="none" w:sz="0" w:space="0" w:color="auto"/>
        <w:bottom w:val="none" w:sz="0" w:space="0" w:color="auto"/>
        <w:right w:val="none" w:sz="0" w:space="0" w:color="auto"/>
      </w:divBdr>
    </w:div>
    <w:div w:id="1872915116">
      <w:bodyDiv w:val="1"/>
      <w:marLeft w:val="0"/>
      <w:marRight w:val="0"/>
      <w:marTop w:val="0"/>
      <w:marBottom w:val="0"/>
      <w:divBdr>
        <w:top w:val="none" w:sz="0" w:space="0" w:color="auto"/>
        <w:left w:val="none" w:sz="0" w:space="0" w:color="auto"/>
        <w:bottom w:val="none" w:sz="0" w:space="0" w:color="auto"/>
        <w:right w:val="none" w:sz="0" w:space="0" w:color="auto"/>
      </w:divBdr>
    </w:div>
    <w:div w:id="1985546976">
      <w:bodyDiv w:val="1"/>
      <w:marLeft w:val="0"/>
      <w:marRight w:val="0"/>
      <w:marTop w:val="0"/>
      <w:marBottom w:val="0"/>
      <w:divBdr>
        <w:top w:val="none" w:sz="0" w:space="0" w:color="auto"/>
        <w:left w:val="none" w:sz="0" w:space="0" w:color="auto"/>
        <w:bottom w:val="none" w:sz="0" w:space="0" w:color="auto"/>
        <w:right w:val="none" w:sz="0" w:space="0" w:color="auto"/>
      </w:divBdr>
    </w:div>
    <w:div w:id="1990359090">
      <w:bodyDiv w:val="1"/>
      <w:marLeft w:val="0"/>
      <w:marRight w:val="0"/>
      <w:marTop w:val="0"/>
      <w:marBottom w:val="0"/>
      <w:divBdr>
        <w:top w:val="none" w:sz="0" w:space="0" w:color="auto"/>
        <w:left w:val="none" w:sz="0" w:space="0" w:color="auto"/>
        <w:bottom w:val="none" w:sz="0" w:space="0" w:color="auto"/>
        <w:right w:val="none" w:sz="0" w:space="0" w:color="auto"/>
      </w:divBdr>
    </w:div>
    <w:div w:id="2009940463">
      <w:bodyDiv w:val="1"/>
      <w:marLeft w:val="0"/>
      <w:marRight w:val="0"/>
      <w:marTop w:val="0"/>
      <w:marBottom w:val="0"/>
      <w:divBdr>
        <w:top w:val="none" w:sz="0" w:space="0" w:color="auto"/>
        <w:left w:val="none" w:sz="0" w:space="0" w:color="auto"/>
        <w:bottom w:val="none" w:sz="0" w:space="0" w:color="auto"/>
        <w:right w:val="none" w:sz="0" w:space="0" w:color="auto"/>
      </w:divBdr>
    </w:div>
    <w:div w:id="211512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r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xueqm@nju.edu.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sc.fasb.org/" TargetMode="External"/><Relationship Id="rId4" Type="http://schemas.openxmlformats.org/officeDocument/2006/relationships/webSettings" Target="webSettings.xml"/><Relationship Id="rId9" Type="http://schemas.openxmlformats.org/officeDocument/2006/relationships/hyperlink" Target="http://www.casc.or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1200</Words>
  <Characters>7188</Characters>
  <Application>Microsoft Office Word</Application>
  <DocSecurity>0</DocSecurity>
  <Lines>217</Lines>
  <Paragraphs>182</Paragraphs>
  <ScaleCrop>false</ScaleCrop>
  <Company>FiSh'S WebSite 徐晓维</Company>
  <LinksUpToDate>false</LinksUpToDate>
  <CharactersWithSpaces>8206</CharactersWithSpaces>
  <SharedDoc>false</SharedDoc>
  <HLinks>
    <vt:vector size="6" baseType="variant">
      <vt:variant>
        <vt:i4>8126579</vt:i4>
      </vt:variant>
      <vt:variant>
        <vt:i4>0</vt:i4>
      </vt:variant>
      <vt:variant>
        <vt:i4>0</vt:i4>
      </vt:variant>
      <vt:variant>
        <vt:i4>5</vt:i4>
      </vt:variant>
      <vt:variant>
        <vt:lpwstr>http://nubs.nju.edu.cn/faculty.php/124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xiaolin</dc:creator>
  <cp:keywords/>
  <dc:description/>
  <cp:lastModifiedBy>薛清梅</cp:lastModifiedBy>
  <cp:revision>44</cp:revision>
  <cp:lastPrinted>2023-04-10T11:34:00Z</cp:lastPrinted>
  <dcterms:created xsi:type="dcterms:W3CDTF">2026-01-09T18:09:00Z</dcterms:created>
  <dcterms:modified xsi:type="dcterms:W3CDTF">2026-05-18T03:20:00Z</dcterms:modified>
</cp:coreProperties>
</file>